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480"/>
      </w:pPr>
      <w:r>
        <w:rPr>
          <w:sz w:val="48"/>
          <w:szCs w:val="48"/>
        </w:rPr>
        <w:t xml:space="preserve"> </w:t>
      </w:r>
    </w:p>
    <w:p>
      <w:pPr>
        <w:spacing w:after="0" w:before="0"/>
        <w:jc w:val="left"/>
      </w:pPr>
      <w:r>
        <w:rPr>
          <w:rFonts w:ascii="Calibri" w:cs="Calibri" w:eastAsia="Calibri" w:hAnsi="Calibri"/>
          <w:b/>
          <w:bCs/>
          <w:color w:val="08111F"/>
          <w:sz w:val="64"/>
          <w:szCs w:val="64"/>
        </w:rPr>
        <w:t xml:space="preserve">MARGIN NOTE</w:t>
      </w:r>
    </w:p>
    <w:p>
      <w:pPr>
        <w:spacing w:after="480" w:before="80"/>
      </w:pPr>
      <w:r>
        <w:rPr>
          <w:rFonts w:ascii="Calibri" w:cs="Calibri" w:eastAsia="Calibri" w:hAnsi="Calibri"/>
          <w:b/>
          <w:bCs/>
          <w:color w:val="C9A84C"/>
          <w:sz w:val="32"/>
          <w:szCs w:val="32"/>
        </w:rPr>
        <w:t xml:space="preserve">Essential Diagnostic</w:t>
      </w:r>
    </w:p>
    <w:p>
      <w:pPr>
        <w:pBdr>
          <w:bottom w:val="single" w:color="C9A84C" w:sz="12"/>
        </w:pBdr>
        <w:spacing w:after="240" w:before="0"/>
      </w:pPr>
    </w:p>
    <w:p>
      <w:pPr>
        <w:spacing w:after="20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tblGrid>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Prepared for</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Meridian Content Group</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Contact</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Marc Verlinden, Managing Partner</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Business type</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Integrated media and content agency</w:t>
            </w:r>
          </w:p>
        </w:tc>
      </w:tr>
      <w:tr>
        <w:tc>
          <w:tcPr>
            <w:tcW w:type="dxa" w:w="4320"/>
            <w:tcBorders>
              <w:top w:val="none"/>
              <w:left w:val="none"/>
              <w:bottom w:val="single" w:color="E0E0E0" w:sz="1"/>
              <w:right w:val="none"/>
            </w:tcBorders>
            <w:shd w:fill="FFF8E7"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Revenue (submitted)</w:t>
            </w:r>
          </w:p>
        </w:tc>
        <w:tc>
          <w:tcPr>
            <w:tcW w:type="dxa" w:w="4320"/>
            <w:tcBorders>
              <w:top w:val="none"/>
              <w:left w:val="none"/>
              <w:bottom w:val="single" w:color="E0E0E0" w:sz="1"/>
              <w:right w:val="none"/>
            </w:tcBorders>
            <w:shd w:fill="FFF8E7" w:color="auto" w:val="clear"/>
            <w:tcMar>
              <w:top w:type="dxa" w:w="80"/>
              <w:left w:type="dxa" w:w="120"/>
              <w:bottom w:type="dxa" w:w="80"/>
              <w:right w:type="dxa" w:w="120"/>
            </w:tcMar>
          </w:tcPr>
          <w:p>
            <w:pPr>
              <w:spacing w:after="60" w:before="60"/>
            </w:pPr>
            <w:r>
              <w:rPr>
                <w:rFonts w:ascii="Calibri" w:cs="Calibri" w:eastAsia="Calibri" w:hAnsi="Calibri"/>
                <w:b/>
                <w:bCs/>
                <w:color w:val="08111F"/>
                <w:sz w:val="20"/>
                <w:szCs w:val="20"/>
              </w:rPr>
              <w:t xml:space="preserve">€6,200,000</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Total expenses (submitted)</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€5,580,000</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Cash on hand</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€310,000</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Report type</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Margin Note — Essential (€497)</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Prepared by</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Satyabrata Das · Strategic Finance Advisor</w:t>
            </w:r>
          </w:p>
        </w:tc>
      </w:tr>
      <w:tr>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Date</w:t>
            </w:r>
          </w:p>
        </w:tc>
        <w:tc>
          <w:tcPr>
            <w:tcW w:type="dxa" w:w="4320"/>
            <w:tcBorders>
              <w:top w:val="none"/>
              <w:left w:val="none"/>
              <w:bottom w:val="single" w:color="E0E0E0" w:sz="1"/>
              <w:right w:val="none"/>
            </w:tcBorders>
            <w:shd w:fill="FFFFFF" w:color="auto" w:val="clear"/>
            <w:tcMar>
              <w:top w:type="dxa" w:w="80"/>
              <w:left w:type="dxa" w:w="120"/>
              <w:bottom w:type="dxa" w:w="80"/>
              <w:right w:type="dxa" w:w="120"/>
            </w:tcMar>
          </w:tcPr>
          <w:p>
            <w:pPr>
              <w:spacing w:after="60" w:before="60"/>
            </w:pPr>
            <w:r>
              <w:rPr>
                <w:rFonts w:ascii="Calibri" w:cs="Calibri" w:eastAsia="Calibri" w:hAnsi="Calibri"/>
                <w:b w:val="false"/>
                <w:bCs w:val="false"/>
                <w:color w:val="1A1A1A"/>
                <w:sz w:val="20"/>
                <w:szCs w:val="20"/>
              </w:rPr>
              <w:t xml:space="preserve">July 2025</w:t>
            </w:r>
          </w:p>
        </w:tc>
      </w:tr>
      <w:tr>
        <w:tc>
          <w:tcPr>
            <w:tcW w:type="dxa" w:w="4320"/>
            <w:tcBorders>
              <w:top w:val="none"/>
              <w:left w:val="none"/>
              <w:bottom w:val="single" w:color="E0E0E0" w:sz="1"/>
              <w:right w:val="none"/>
            </w:tcBorders>
            <w:shd w:fill="FFF8E7" w:color="auto" w:val="clear"/>
            <w:tcMar>
              <w:top w:type="dxa" w:w="80"/>
              <w:left w:type="dxa" w:w="120"/>
              <w:bottom w:type="dxa" w:w="80"/>
              <w:right w:type="dxa" w:w="120"/>
            </w:tcMar>
          </w:tcPr>
          <w:p>
            <w:pPr>
              <w:spacing w:after="60" w:before="60"/>
            </w:pPr>
            <w:r>
              <w:rPr>
                <w:rFonts w:ascii="Calibri" w:cs="Calibri" w:eastAsia="Calibri" w:hAnsi="Calibri"/>
                <w:color w:val="6B7280"/>
                <w:sz w:val="20"/>
                <w:szCs w:val="20"/>
              </w:rPr>
              <w:t xml:space="preserve">Status</w:t>
            </w:r>
          </w:p>
        </w:tc>
        <w:tc>
          <w:tcPr>
            <w:tcW w:type="dxa" w:w="4320"/>
            <w:tcBorders>
              <w:top w:val="none"/>
              <w:left w:val="none"/>
              <w:bottom w:val="single" w:color="E0E0E0" w:sz="1"/>
              <w:right w:val="none"/>
            </w:tcBorders>
            <w:shd w:fill="FFF8E7" w:color="auto" w:val="clear"/>
            <w:tcMar>
              <w:top w:type="dxa" w:w="80"/>
              <w:left w:type="dxa" w:w="120"/>
              <w:bottom w:type="dxa" w:w="80"/>
              <w:right w:type="dxa" w:w="120"/>
            </w:tcMar>
          </w:tcPr>
          <w:p>
            <w:pPr>
              <w:spacing w:after="60" w:before="60"/>
            </w:pPr>
            <w:r>
              <w:rPr>
                <w:rFonts w:ascii="Calibri" w:cs="Calibri" w:eastAsia="Calibri" w:hAnsi="Calibri"/>
                <w:b/>
                <w:bCs/>
                <w:color w:val="08111F"/>
                <w:sz w:val="20"/>
                <w:szCs w:val="20"/>
              </w:rPr>
              <w:t xml:space="preserve">CONFIDENTIAL — FOR RECIPIENT ONLY</w:t>
            </w:r>
          </w:p>
        </w:tc>
      </w:tr>
    </w:tbl>
    <w:p>
      <w:pPr>
        <w:spacing w:after="400" w:before="0"/>
      </w:pPr>
    </w:p>
    <w:tbl>
      <w:tblPr>
        <w:tblW w:type="dxa" w:w="8640"/>
        <w:tblBorders>
          <w:top w:val="none"/>
          <w:left w:val="none"/>
          <w:bottom w:val="none"/>
          <w:right w:val="none"/>
          <w:insideH w:val="single" w:color="auto" w:sz="4"/>
          <w:insideV w:val="single" w:color="auto" w:sz="4"/>
        </w:tblBorders>
        <w:tblLayout w:type="fixed"/>
      </w:tblPr>
      <w:tblGrid>
        <w:gridCol w:w="100"/>
      </w:tblGrid>
      <w:tr>
        <w:tc>
          <w:tcPr>
            <w:tcW w:type="dxa" w:w="8640"/>
            <w:tcBorders>
              <w:top w:val="single" w:color="08111F" w:sz="4"/>
              <w:left w:val="single" w:color="08111F" w:sz="16"/>
              <w:bottom w:val="single" w:color="08111F" w:sz="4"/>
              <w:right w:val="none"/>
            </w:tcBorders>
            <w:shd w:fill="F0F4FF" w:color="auto" w:val="clear"/>
            <w:tcMar>
              <w:top w:type="dxa" w:w="140"/>
              <w:left w:type="dxa" w:w="200"/>
              <w:bottom w:type="dxa" w:w="140"/>
              <w:right w:type="dxa" w:w="200"/>
            </w:tcMar>
          </w:tcPr>
          <w:p>
            <w:pPr>
              <w:spacing w:after="80" w:before="0"/>
            </w:pPr>
            <w:r>
              <w:rPr>
                <w:rFonts w:ascii="Calibri" w:cs="Calibri" w:eastAsia="Calibri" w:hAnsi="Calibri"/>
                <w:b/>
                <w:bCs/>
                <w:color w:val="08111F"/>
                <w:sz w:val="18"/>
                <w:szCs w:val="18"/>
              </w:rPr>
              <w:t xml:space="preserve">BASIS OF THIS NOTE</w:t>
            </w:r>
          </w:p>
          <w:p>
            <w:pPr>
              <w:spacing w:after="0" w:before="0"/>
            </w:pPr>
            <w:r>
              <w:rPr>
                <w:rFonts w:ascii="Calibri" w:cs="Calibri" w:eastAsia="Calibri" w:hAnsi="Calibri"/>
                <w:color w:val="1A1A1A"/>
                <w:sz w:val="18"/>
                <w:szCs w:val="18"/>
              </w:rPr>
              <w:t xml:space="preserve">This note is based solely on the figures submitted via the Free Margin Note form. No audit has been conducted. No management accounts, trial balance, or supporting schedules have been reviewed. The observations that follow are directional — they identify patterns that, in 29 years across 56 entities, have repeatedly indicated a specific class of problem. They are not a substitute for a full diagnostic.</w:t>
            </w:r>
          </w:p>
        </w:tc>
      </w:tr>
    </w:tbl>
    <w:p>
      <w:pPr>
        <w:spacing w:after="480" w:before="0"/>
      </w:pPr>
    </w:p>
    <w:p>
      <w:pPr>
        <w:spacing w:after="120" w:before="400"/>
      </w:pPr>
      <w:r>
        <w:rPr>
          <w:rFonts w:ascii="Calibri" w:cs="Calibri" w:eastAsia="Calibri" w:hAnsi="Calibri"/>
          <w:b/>
          <w:bCs/>
          <w:color w:val="C9A84C"/>
          <w:sz w:val="20"/>
          <w:szCs w:val="20"/>
        </w:rPr>
        <w:t xml:space="preserve">THREE OBSERVATIONS</w:t>
      </w:r>
    </w:p>
    <w:p>
      <w:pPr>
        <w:pBdr>
          <w:bottom w:val="single" w:color="C9A84C" w:sz="12"/>
        </w:pBdr>
        <w:spacing w:after="24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gridCol w:w="100"/>
      </w:tblGrid>
      <w:tr>
        <w:tc>
          <w:tcPr>
            <w:tcW w:type="dxa" w:w="8640"/>
            <w:gridSpan w:val="3"/>
            <w:tcBorders>
              <w:top w:val="none"/>
              <w:left w:val="none"/>
              <w:bottom w:val="none"/>
              <w:right w:val="none"/>
            </w:tcBorders>
            <w:shd w:fill="08111F" w:color="auto" w:val="clear"/>
            <w:tcMar>
              <w:top w:type="dxa" w:w="120"/>
              <w:left w:type="dxa" w:w="180"/>
              <w:bottom w:type="dxa" w:w="120"/>
              <w:right w:type="dxa" w:w="180"/>
            </w:tcMar>
          </w:tcPr>
          <w:p>
            <w:pPr>
              <w:spacing w:after="40" w:before="80"/>
            </w:pPr>
            <w:r>
              <w:rPr>
                <w:rFonts w:ascii="Calibri" w:cs="Calibri" w:eastAsia="Calibri" w:hAnsi="Calibri"/>
                <w:b/>
                <w:bCs/>
                <w:color w:val="FFFFFF"/>
                <w:sz w:val="18"/>
                <w:szCs w:val="18"/>
              </w:rPr>
              <w:t xml:space="preserve">Observation 01</w:t>
            </w:r>
          </w:p>
          <w:p>
            <w:pPr>
              <w:spacing w:after="80" w:before="0"/>
            </w:pPr>
            <w:r>
              <w:rPr>
                <w:rFonts w:ascii="Calibri" w:cs="Calibri" w:eastAsia="Calibri" w:hAnsi="Calibri"/>
                <w:b/>
                <w:bCs/>
                <w:color w:val="FFFFFF"/>
                <w:sz w:val="24"/>
                <w:szCs w:val="24"/>
              </w:rPr>
              <w:t xml:space="preserve">Operating Margin</w:t>
            </w:r>
          </w:p>
        </w:tc>
      </w:tr>
      <w:tr>
        <w:tc>
          <w:tcPr>
            <w:tcW w:type="dxa" w:w="2880"/>
            <w:tcBorders>
              <w:top w:val="none"/>
              <w:left w:val="none"/>
              <w:bottom w:val="none"/>
              <w:right w:val="single" w:color="E0E0E0" w:sz="4"/>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YOUR FIGURE</w:t>
            </w:r>
          </w:p>
          <w:p>
            <w:pPr>
              <w:spacing w:after="60" w:before="0"/>
            </w:pPr>
            <w:r>
              <w:rPr>
                <w:rFonts w:ascii="Calibri" w:cs="Calibri" w:eastAsia="Calibri" w:hAnsi="Calibri"/>
                <w:b/>
                <w:bCs/>
                <w:color w:val="08111F"/>
                <w:sz w:val="32"/>
                <w:szCs w:val="32"/>
              </w:rPr>
              <w:t xml:space="preserve">9.7%</w:t>
            </w:r>
          </w:p>
        </w:tc>
        <w:tc>
          <w:tcPr>
            <w:tcW w:type="dxa" w:w="2880"/>
            <w:tcBorders>
              <w:top w:val="none"/>
              <w:left w:val="none"/>
              <w:bottom w:val="none"/>
              <w:right w:val="single" w:color="E0E0E0" w:sz="4"/>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SECTOR BENCHMARK</w:t>
            </w:r>
          </w:p>
          <w:p>
            <w:pPr>
              <w:spacing w:after="60" w:before="0"/>
            </w:pPr>
            <w:r>
              <w:rPr>
                <w:rFonts w:ascii="Calibri" w:cs="Calibri" w:eastAsia="Calibri" w:hAnsi="Calibri"/>
                <w:b/>
                <w:bCs/>
                <w:color w:val="2D6A4F"/>
                <w:sz w:val="32"/>
                <w:szCs w:val="32"/>
              </w:rPr>
              <w:t xml:space="preserve">12–16%</w:t>
            </w:r>
          </w:p>
        </w:tc>
        <w:tc>
          <w:tcPr>
            <w:tcW w:type="dxa" w:w="2880"/>
            <w:tcBorders>
              <w:top w:val="none"/>
              <w:left w:val="none"/>
              <w:bottom w:val="none"/>
              <w:right w:val="none"/>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SIGNAL</w:t>
            </w:r>
          </w:p>
          <w:p>
            <w:pPr>
              <w:spacing w:after="60" w:before="0"/>
            </w:pPr>
            <w:r>
              <w:rPr>
                <w:rFonts w:ascii="Calibri" w:cs="Calibri" w:eastAsia="Calibri" w:hAnsi="Calibri"/>
                <w:b/>
                <w:bCs/>
                <w:color w:val="B91C1C"/>
                <w:sz w:val="20"/>
                <w:szCs w:val="20"/>
              </w:rPr>
              <w:t xml:space="preserve">Below healthy range</w:t>
            </w:r>
          </w:p>
        </w:tc>
      </w:tr>
      <w:tr>
        <w:tc>
          <w:tcPr>
            <w:tcW w:type="dxa" w:w="8640"/>
            <w:gridSpan w:val="3"/>
            <w:tcBorders>
              <w:top w:val="single" w:color="E0E0E0" w:sz="1"/>
              <w:left w:val="none"/>
              <w:bottom w:val="none"/>
              <w:right w:val="none"/>
            </w:tcBorders>
            <w:shd w:fill="FFFFFF" w:color="auto" w:val="clear"/>
            <w:tcMar>
              <w:top w:type="dxa" w:w="120"/>
              <w:left w:type="dxa" w:w="180"/>
              <w:bottom w:type="dxa" w:w="140"/>
              <w:right w:type="dxa" w:w="180"/>
            </w:tcMar>
          </w:tcPr>
          <w:p>
            <w:pPr>
              <w:spacing w:after="80" w:before="80"/>
            </w:pPr>
            <w:r>
              <w:rPr>
                <w:rFonts w:ascii="Calibri" w:cs="Calibri" w:eastAsia="Calibri" w:hAnsi="Calibri"/>
                <w:color w:val="1A1A1A"/>
                <w:sz w:val="20"/>
                <w:szCs w:val="20"/>
              </w:rPr>
              <w:t xml:space="preserve">On €6.2M revenue with €5.58M total expenses, the operating margin sits at 9.7%. The sector benchmark for a media and content agency of this size is 12–16%. The gap is not catastrophic but it is not a rounding error either. At your scale, closing half that gap — moving from 9.7% to 12% — is worth approximately €143,000 in additional profit annually without touching a single client contract. The question is not whether the margin is low. The question is which costs moved in the last 18 months without a corresponding revenue event, and whether scope delivered to clients is being captured and billed in full.</w:t>
            </w:r>
          </w:p>
        </w:tc>
      </w:tr>
    </w:tbl>
    <w:p>
      <w:pPr>
        <w:spacing w:after="24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gridCol w:w="100"/>
      </w:tblGrid>
      <w:tr>
        <w:tc>
          <w:tcPr>
            <w:tcW w:type="dxa" w:w="8640"/>
            <w:gridSpan w:val="3"/>
            <w:tcBorders>
              <w:top w:val="none"/>
              <w:left w:val="none"/>
              <w:bottom w:val="none"/>
              <w:right w:val="none"/>
            </w:tcBorders>
            <w:shd w:fill="08111F" w:color="auto" w:val="clear"/>
            <w:tcMar>
              <w:top w:type="dxa" w:w="120"/>
              <w:left w:type="dxa" w:w="180"/>
              <w:bottom w:type="dxa" w:w="120"/>
              <w:right w:type="dxa" w:w="180"/>
            </w:tcMar>
          </w:tcPr>
          <w:p>
            <w:pPr>
              <w:spacing w:after="40" w:before="80"/>
            </w:pPr>
            <w:r>
              <w:rPr>
                <w:rFonts w:ascii="Calibri" w:cs="Calibri" w:eastAsia="Calibri" w:hAnsi="Calibri"/>
                <w:b/>
                <w:bCs/>
                <w:color w:val="FFFFFF"/>
                <w:sz w:val="18"/>
                <w:szCs w:val="18"/>
              </w:rPr>
              <w:t xml:space="preserve">Observation 02</w:t>
            </w:r>
          </w:p>
          <w:p>
            <w:pPr>
              <w:spacing w:after="80" w:before="0"/>
            </w:pPr>
            <w:r>
              <w:rPr>
                <w:rFonts w:ascii="Calibri" w:cs="Calibri" w:eastAsia="Calibri" w:hAnsi="Calibri"/>
                <w:b/>
                <w:bCs/>
                <w:color w:val="FFFFFF"/>
                <w:sz w:val="24"/>
                <w:szCs w:val="24"/>
              </w:rPr>
              <w:t xml:space="preserve">Cash Conversion</w:t>
            </w:r>
          </w:p>
        </w:tc>
      </w:tr>
      <w:tr>
        <w:tc>
          <w:tcPr>
            <w:tcW w:type="dxa" w:w="2880"/>
            <w:tcBorders>
              <w:top w:val="none"/>
              <w:left w:val="none"/>
              <w:bottom w:val="none"/>
              <w:right w:val="single" w:color="E0E0E0" w:sz="4"/>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YOUR FIGURE</w:t>
            </w:r>
          </w:p>
          <w:p>
            <w:pPr>
              <w:spacing w:after="60" w:before="0"/>
            </w:pPr>
            <w:r>
              <w:rPr>
                <w:rFonts w:ascii="Calibri" w:cs="Calibri" w:eastAsia="Calibri" w:hAnsi="Calibri"/>
                <w:b/>
                <w:bCs/>
                <w:color w:val="08111F"/>
                <w:sz w:val="32"/>
                <w:szCs w:val="32"/>
              </w:rPr>
              <w:t xml:space="preserve">18.2 days</w:t>
            </w:r>
          </w:p>
        </w:tc>
        <w:tc>
          <w:tcPr>
            <w:tcW w:type="dxa" w:w="2880"/>
            <w:tcBorders>
              <w:top w:val="none"/>
              <w:left w:val="none"/>
              <w:bottom w:val="none"/>
              <w:right w:val="single" w:color="E0E0E0" w:sz="4"/>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SECTOR BENCHMARK</w:t>
            </w:r>
          </w:p>
          <w:p>
            <w:pPr>
              <w:spacing w:after="60" w:before="0"/>
            </w:pPr>
            <w:r>
              <w:rPr>
                <w:rFonts w:ascii="Calibri" w:cs="Calibri" w:eastAsia="Calibri" w:hAnsi="Calibri"/>
                <w:b/>
                <w:bCs/>
                <w:color w:val="2D6A4F"/>
                <w:sz w:val="32"/>
                <w:szCs w:val="32"/>
              </w:rPr>
              <w:t xml:space="preserve">30–45 days</w:t>
            </w:r>
          </w:p>
        </w:tc>
        <w:tc>
          <w:tcPr>
            <w:tcW w:type="dxa" w:w="2880"/>
            <w:tcBorders>
              <w:top w:val="none"/>
              <w:left w:val="none"/>
              <w:bottom w:val="none"/>
              <w:right w:val="none"/>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SIGNAL</w:t>
            </w:r>
          </w:p>
          <w:p>
            <w:pPr>
              <w:spacing w:after="60" w:before="0"/>
            </w:pPr>
            <w:r>
              <w:rPr>
                <w:rFonts w:ascii="Calibri" w:cs="Calibri" w:eastAsia="Calibri" w:hAnsi="Calibri"/>
                <w:b/>
                <w:bCs/>
                <w:color w:val="B91C1C"/>
                <w:sz w:val="20"/>
                <w:szCs w:val="20"/>
              </w:rPr>
              <w:t xml:space="preserve">Cash thin relative to revenue</w:t>
            </w:r>
          </w:p>
        </w:tc>
      </w:tr>
      <w:tr>
        <w:tc>
          <w:tcPr>
            <w:tcW w:type="dxa" w:w="8640"/>
            <w:gridSpan w:val="3"/>
            <w:tcBorders>
              <w:top w:val="single" w:color="E0E0E0" w:sz="1"/>
              <w:left w:val="none"/>
              <w:bottom w:val="none"/>
              <w:right w:val="none"/>
            </w:tcBorders>
            <w:shd w:fill="FFFFFF" w:color="auto" w:val="clear"/>
            <w:tcMar>
              <w:top w:type="dxa" w:w="120"/>
              <w:left w:type="dxa" w:w="180"/>
              <w:bottom w:type="dxa" w:w="140"/>
              <w:right w:type="dxa" w:w="180"/>
            </w:tcMar>
          </w:tcPr>
          <w:p>
            <w:pPr>
              <w:spacing w:after="80" w:before="80"/>
            </w:pPr>
            <w:r>
              <w:rPr>
                <w:rFonts w:ascii="Calibri" w:cs="Calibri" w:eastAsia="Calibri" w:hAnsi="Calibri"/>
                <w:color w:val="1A1A1A"/>
                <w:sz w:val="20"/>
                <w:szCs w:val="20"/>
              </w:rPr>
              <w:t xml:space="preserve">Cash on hand of €310,000 against €6.2M revenue represents approximately 18 days of operating cover. The agency benchmark is 30–45 days minimum — enough buffer to absorb a delayed payment from one significant client without touching the payroll line. At 18 days you are running on trust: trust that your top clients pay on time, every time. In the current environment — with global brands cutting agency retainers in response to AI-driven in-house capability — that is not a position to be in. One large client delaying 45 days turns an 18-day buffer into a cash deficit. The underlying cause is almost always one of three things: slow invoicing, long payment terms accepted at contract stage, or scope delivered before a purchase order is raised. Each is fixable.</w:t>
            </w:r>
          </w:p>
        </w:tc>
      </w:tr>
    </w:tbl>
    <w:p>
      <w:pPr>
        <w:spacing w:after="240" w:before="0"/>
      </w:pPr>
    </w:p>
    <w:tbl>
      <w:tblPr>
        <w:tblW w:type="dxa" w:w="8640"/>
        <w:tblBorders>
          <w:top w:val="single" w:color="C9A84C" w:sz="4"/>
          <w:left w:val="single" w:color="C9A84C" w:sz="4"/>
          <w:bottom w:val="single" w:color="C9A84C" w:sz="4"/>
          <w:right w:val="single" w:color="C9A84C" w:sz="4"/>
          <w:insideH w:val="single" w:color="auto" w:sz="4"/>
          <w:insideV w:val="single" w:color="auto" w:sz="4"/>
        </w:tblBorders>
        <w:tblLayout w:type="fixed"/>
      </w:tblPr>
      <w:tblGrid>
        <w:gridCol w:w="100"/>
        <w:gridCol w:w="100"/>
        <w:gridCol w:w="100"/>
      </w:tblGrid>
      <w:tr>
        <w:tc>
          <w:tcPr>
            <w:tcW w:type="dxa" w:w="8640"/>
            <w:gridSpan w:val="3"/>
            <w:tcBorders>
              <w:top w:val="none"/>
              <w:left w:val="none"/>
              <w:bottom w:val="none"/>
              <w:right w:val="none"/>
            </w:tcBorders>
            <w:shd w:fill="08111F" w:color="auto" w:val="clear"/>
            <w:tcMar>
              <w:top w:type="dxa" w:w="120"/>
              <w:left w:type="dxa" w:w="180"/>
              <w:bottom w:type="dxa" w:w="120"/>
              <w:right w:type="dxa" w:w="180"/>
            </w:tcMar>
          </w:tcPr>
          <w:p>
            <w:pPr>
              <w:spacing w:after="40" w:before="80"/>
            </w:pPr>
            <w:r>
              <w:rPr>
                <w:rFonts w:ascii="Calibri" w:cs="Calibri" w:eastAsia="Calibri" w:hAnsi="Calibri"/>
                <w:b/>
                <w:bCs/>
                <w:color w:val="FFFFFF"/>
                <w:sz w:val="18"/>
                <w:szCs w:val="18"/>
              </w:rPr>
              <w:t xml:space="preserve">Observation 03</w:t>
            </w:r>
          </w:p>
          <w:p>
            <w:pPr>
              <w:spacing w:after="80" w:before="0"/>
            </w:pPr>
            <w:r>
              <w:rPr>
                <w:rFonts w:ascii="Calibri" w:cs="Calibri" w:eastAsia="Calibri" w:hAnsi="Calibri"/>
                <w:b/>
                <w:bCs/>
                <w:color w:val="FFFFFF"/>
                <w:sz w:val="24"/>
                <w:szCs w:val="24"/>
              </w:rPr>
              <w:t xml:space="preserve">Expense Ratio</w:t>
            </w:r>
          </w:p>
        </w:tc>
      </w:tr>
      <w:tr>
        <w:tc>
          <w:tcPr>
            <w:tcW w:type="dxa" w:w="2880"/>
            <w:tcBorders>
              <w:top w:val="none"/>
              <w:left w:val="none"/>
              <w:bottom w:val="none"/>
              <w:right w:val="single" w:color="E0E0E0" w:sz="4"/>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YOUR FIGURE</w:t>
            </w:r>
          </w:p>
          <w:p>
            <w:pPr>
              <w:spacing w:after="60" w:before="0"/>
            </w:pPr>
            <w:r>
              <w:rPr>
                <w:rFonts w:ascii="Calibri" w:cs="Calibri" w:eastAsia="Calibri" w:hAnsi="Calibri"/>
                <w:b/>
                <w:bCs/>
                <w:color w:val="08111F"/>
                <w:sz w:val="32"/>
                <w:szCs w:val="32"/>
              </w:rPr>
              <w:t xml:space="preserve">90.0%</w:t>
            </w:r>
          </w:p>
        </w:tc>
        <w:tc>
          <w:tcPr>
            <w:tcW w:type="dxa" w:w="2880"/>
            <w:tcBorders>
              <w:top w:val="none"/>
              <w:left w:val="none"/>
              <w:bottom w:val="none"/>
              <w:right w:val="single" w:color="E0E0E0" w:sz="4"/>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SECTOR BENCHMARK</w:t>
            </w:r>
          </w:p>
          <w:p>
            <w:pPr>
              <w:spacing w:after="60" w:before="0"/>
            </w:pPr>
            <w:r>
              <w:rPr>
                <w:rFonts w:ascii="Calibri" w:cs="Calibri" w:eastAsia="Calibri" w:hAnsi="Calibri"/>
                <w:b/>
                <w:bCs/>
                <w:color w:val="2D6A4F"/>
                <w:sz w:val="32"/>
                <w:szCs w:val="32"/>
              </w:rPr>
              <w:t xml:space="preserve">82–86%</w:t>
            </w:r>
          </w:p>
        </w:tc>
        <w:tc>
          <w:tcPr>
            <w:tcW w:type="dxa" w:w="2880"/>
            <w:tcBorders>
              <w:top w:val="none"/>
              <w:left w:val="none"/>
              <w:bottom w:val="none"/>
              <w:right w:val="none"/>
            </w:tcBorders>
            <w:shd w:fill="FAFAFA" w:color="auto" w:val="clear"/>
            <w:tcMar>
              <w:top w:type="dxa" w:w="120"/>
              <w:left w:type="dxa" w:w="180"/>
              <w:bottom w:type="dxa" w:w="120"/>
              <w:right w:type="dxa" w:w="180"/>
            </w:tcMar>
          </w:tcPr>
          <w:p>
            <w:pPr>
              <w:spacing w:after="40" w:before="60"/>
            </w:pPr>
            <w:r>
              <w:rPr>
                <w:rFonts w:ascii="Calibri" w:cs="Calibri" w:eastAsia="Calibri" w:hAnsi="Calibri"/>
                <w:b/>
                <w:bCs/>
                <w:color w:val="6B7280"/>
                <w:sz w:val="16"/>
                <w:szCs w:val="16"/>
              </w:rPr>
              <w:t xml:space="preserve">SIGNAL</w:t>
            </w:r>
          </w:p>
          <w:p>
            <w:pPr>
              <w:spacing w:after="60" w:before="0"/>
            </w:pPr>
            <w:r>
              <w:rPr>
                <w:rFonts w:ascii="Calibri" w:cs="Calibri" w:eastAsia="Calibri" w:hAnsi="Calibri"/>
                <w:b/>
                <w:bCs/>
                <w:color w:val="B91C1C"/>
                <w:sz w:val="20"/>
                <w:szCs w:val="20"/>
              </w:rPr>
              <w:t xml:space="preserve">Cost structure needs attention</w:t>
            </w:r>
          </w:p>
        </w:tc>
      </w:tr>
      <w:tr>
        <w:tc>
          <w:tcPr>
            <w:tcW w:type="dxa" w:w="8640"/>
            <w:gridSpan w:val="3"/>
            <w:tcBorders>
              <w:top w:val="single" w:color="E0E0E0" w:sz="1"/>
              <w:left w:val="none"/>
              <w:bottom w:val="none"/>
              <w:right w:val="none"/>
            </w:tcBorders>
            <w:shd w:fill="FFFFFF" w:color="auto" w:val="clear"/>
            <w:tcMar>
              <w:top w:type="dxa" w:w="120"/>
              <w:left w:type="dxa" w:w="180"/>
              <w:bottom w:type="dxa" w:w="140"/>
              <w:right w:type="dxa" w:w="180"/>
            </w:tcMar>
          </w:tcPr>
          <w:p>
            <w:pPr>
              <w:spacing w:after="80" w:before="80"/>
            </w:pPr>
            <w:r>
              <w:rPr>
                <w:rFonts w:ascii="Calibri" w:cs="Calibri" w:eastAsia="Calibri" w:hAnsi="Calibri"/>
                <w:color w:val="1A1A1A"/>
                <w:sz w:val="20"/>
                <w:szCs w:val="20"/>
              </w:rPr>
              <w:t xml:space="preserve">Total expenses at 90% of revenue means €0.90 of every euro earned leaves the business before profit is declared. The benchmark for well-run agencies of this profile is 82–86%. The 4–8 percentage point gap is not visible on a P&amp;L summary — it lives in the detail: unbilled overtime absorbed internally, client-requested revisions treated as goodwill rather than change orders, subscriptions and tools purchased at team level without central review, and staff time allocated to pitches that are not tracked as a cost. None of these are accounting problems. They are process and commercial discipline problems. Finance can identify them. Operations and account management have to fix them.</w:t>
            </w:r>
          </w:p>
        </w:tc>
      </w:tr>
    </w:tbl>
    <w:p>
      <w:pPr>
        <w:spacing w:after="240" w:before="0"/>
      </w:pPr>
    </w:p>
    <w:p>
      <w:pPr>
        <w:spacing w:after="120" w:before="400"/>
      </w:pPr>
      <w:r>
        <w:rPr>
          <w:rFonts w:ascii="Calibri" w:cs="Calibri" w:eastAsia="Calibri" w:hAnsi="Calibri"/>
          <w:b/>
          <w:bCs/>
          <w:color w:val="C9A84C"/>
          <w:sz w:val="20"/>
          <w:szCs w:val="20"/>
        </w:rPr>
        <w:t xml:space="preserve">QUESTIONS THIS RAISES</w:t>
      </w:r>
    </w:p>
    <w:p>
      <w:pPr>
        <w:pBdr>
          <w:bottom w:val="single" w:color="C9A84C" w:sz="12"/>
        </w:pBdr>
        <w:spacing w:after="240" w:before="0"/>
      </w:pPr>
    </w:p>
    <w:tbl>
      <w:tblPr>
        <w:tblW w:type="dxa" w:w="8640"/>
        <w:tblBorders>
          <w:top w:val="none"/>
          <w:left w:val="none"/>
          <w:bottom w:val="none"/>
          <w:right w:val="none"/>
          <w:insideH w:val="single" w:color="auto" w:sz="4"/>
          <w:insideV w:val="single" w:color="auto" w:sz="4"/>
        </w:tblBorders>
        <w:tblLayout w:type="fixed"/>
      </w:tblPr>
      <w:tblGrid>
        <w:gridCol w:w="100"/>
      </w:tblGrid>
      <w:tr>
        <w:tc>
          <w:tcPr>
            <w:tcW w:type="dxa" w:w="8640"/>
            <w:tcBorders>
              <w:top w:val="none"/>
              <w:left w:val="single" w:color="C9A84C" w:sz="8"/>
              <w:bottom w:val="single" w:color="E0E0E0" w:sz="2"/>
              <w:right w:val="none"/>
            </w:tcBorders>
            <w:shd w:fill="FFFFFF" w:color="auto" w:val="clear"/>
            <w:tcMar>
              <w:top w:type="dxa" w:w="100"/>
              <w:left w:type="dxa" w:w="160"/>
              <w:bottom w:type="dxa" w:w="100"/>
              <w:right w:type="dxa" w:w="160"/>
            </w:tcMar>
          </w:tcPr>
          <w:p>
            <w:pPr>
              <w:spacing w:after="40" w:before="80"/>
            </w:pPr>
            <w:r>
              <w:rPr>
                <w:rFonts w:ascii="Calibri" w:cs="Calibri" w:eastAsia="Calibri" w:hAnsi="Calibri"/>
                <w:b/>
                <w:bCs/>
                <w:color w:val="C9A84C"/>
                <w:sz w:val="20"/>
                <w:szCs w:val="20"/>
              </w:rPr>
              <w:t xml:space="preserve">Q1</w:t>
            </w:r>
          </w:p>
          <w:p>
            <w:pPr>
              <w:spacing w:after="80" w:before="0"/>
            </w:pPr>
            <w:r>
              <w:rPr>
                <w:rFonts w:ascii="Calibri" w:cs="Calibri" w:eastAsia="Calibri" w:hAnsi="Calibri"/>
                <w:color w:val="1A1A1A"/>
                <w:sz w:val="20"/>
                <w:szCs w:val="20"/>
              </w:rPr>
              <w:t xml:space="preserve">Do you know the actual net margin on each of your top five clients after internal hours are accounted for — not just the fee you invoice?</w:t>
            </w:r>
          </w:p>
        </w:tc>
      </w:tr>
      <w:tr>
        <w:tc>
          <w:tcPr>
            <w:tcW w:type="dxa" w:w="8640"/>
            <w:tcBorders>
              <w:top w:val="none"/>
              <w:left w:val="single" w:color="C9A84C" w:sz="8"/>
              <w:bottom w:val="single" w:color="E0E0E0" w:sz="2"/>
              <w:right w:val="none"/>
            </w:tcBorders>
            <w:shd w:fill="F5F5F5" w:color="auto" w:val="clear"/>
            <w:tcMar>
              <w:top w:type="dxa" w:w="100"/>
              <w:left w:type="dxa" w:w="160"/>
              <w:bottom w:type="dxa" w:w="100"/>
              <w:right w:type="dxa" w:w="160"/>
            </w:tcMar>
          </w:tcPr>
          <w:p>
            <w:pPr>
              <w:spacing w:after="40" w:before="80"/>
            </w:pPr>
            <w:r>
              <w:rPr>
                <w:rFonts w:ascii="Calibri" w:cs="Calibri" w:eastAsia="Calibri" w:hAnsi="Calibri"/>
                <w:b/>
                <w:bCs/>
                <w:color w:val="C9A84C"/>
                <w:sz w:val="20"/>
                <w:szCs w:val="20"/>
              </w:rPr>
              <w:t xml:space="preserve">Q2</w:t>
            </w:r>
          </w:p>
          <w:p>
            <w:pPr>
              <w:spacing w:after="80" w:before="0"/>
            </w:pPr>
            <w:r>
              <w:rPr>
                <w:rFonts w:ascii="Calibri" w:cs="Calibri" w:eastAsia="Calibri" w:hAnsi="Calibri"/>
                <w:color w:val="1A1A1A"/>
                <w:sz w:val="20"/>
                <w:szCs w:val="20"/>
              </w:rPr>
              <w:t xml:space="preserve">When did you last review payment terms across your client base? Are any clients sitting on 60-day or 90-day terms that were accepted at pitch stage and never renegotiated?</w:t>
            </w:r>
          </w:p>
        </w:tc>
      </w:tr>
      <w:tr>
        <w:tc>
          <w:tcPr>
            <w:tcW w:type="dxa" w:w="8640"/>
            <w:tcBorders>
              <w:top w:val="none"/>
              <w:left w:val="single" w:color="C9A84C" w:sz="8"/>
              <w:bottom w:val="single" w:color="E0E0E0" w:sz="2"/>
              <w:right w:val="none"/>
            </w:tcBorders>
            <w:shd w:fill="FFFFFF" w:color="auto" w:val="clear"/>
            <w:tcMar>
              <w:top w:type="dxa" w:w="100"/>
              <w:left w:type="dxa" w:w="160"/>
              <w:bottom w:type="dxa" w:w="100"/>
              <w:right w:type="dxa" w:w="160"/>
            </w:tcMar>
          </w:tcPr>
          <w:p>
            <w:pPr>
              <w:spacing w:after="40" w:before="80"/>
            </w:pPr>
            <w:r>
              <w:rPr>
                <w:rFonts w:ascii="Calibri" w:cs="Calibri" w:eastAsia="Calibri" w:hAnsi="Calibri"/>
                <w:b/>
                <w:bCs/>
                <w:color w:val="C9A84C"/>
                <w:sz w:val="20"/>
                <w:szCs w:val="20"/>
              </w:rPr>
              <w:t xml:space="preserve">Q3</w:t>
            </w:r>
          </w:p>
          <w:p>
            <w:pPr>
              <w:spacing w:after="80" w:before="0"/>
            </w:pPr>
            <w:r>
              <w:rPr>
                <w:rFonts w:ascii="Calibri" w:cs="Calibri" w:eastAsia="Calibri" w:hAnsi="Calibri"/>
                <w:color w:val="1A1A1A"/>
                <w:sz w:val="20"/>
                <w:szCs w:val="20"/>
              </w:rPr>
              <w:t xml:space="preserve">Is scope creep currently tracked and quantified, or is it absorbed informally and written off as relationship management?</w:t>
            </w:r>
          </w:p>
        </w:tc>
      </w:tr>
      <w:tr>
        <w:tc>
          <w:tcPr>
            <w:tcW w:type="dxa" w:w="8640"/>
            <w:tcBorders>
              <w:top w:val="none"/>
              <w:left w:val="single" w:color="C9A84C" w:sz="8"/>
              <w:bottom w:val="none"/>
              <w:right w:val="none"/>
            </w:tcBorders>
            <w:shd w:fill="F5F5F5" w:color="auto" w:val="clear"/>
            <w:tcMar>
              <w:top w:type="dxa" w:w="100"/>
              <w:left w:type="dxa" w:w="160"/>
              <w:bottom w:type="dxa" w:w="100"/>
              <w:right w:type="dxa" w:w="160"/>
            </w:tcMar>
          </w:tcPr>
          <w:p>
            <w:pPr>
              <w:spacing w:after="40" w:before="80"/>
            </w:pPr>
            <w:r>
              <w:rPr>
                <w:rFonts w:ascii="Calibri" w:cs="Calibri" w:eastAsia="Calibri" w:hAnsi="Calibri"/>
                <w:b/>
                <w:bCs/>
                <w:color w:val="C9A84C"/>
                <w:sz w:val="20"/>
                <w:szCs w:val="20"/>
              </w:rPr>
              <w:t xml:space="preserve">Q4</w:t>
            </w:r>
          </w:p>
          <w:p>
            <w:pPr>
              <w:spacing w:after="80" w:before="0"/>
            </w:pPr>
            <w:r>
              <w:rPr>
                <w:rFonts w:ascii="Calibri" w:cs="Calibri" w:eastAsia="Calibri" w:hAnsi="Calibri"/>
                <w:color w:val="1A1A1A"/>
                <w:sz w:val="20"/>
                <w:szCs w:val="20"/>
              </w:rPr>
              <w:t xml:space="preserve">If your single largest client delayed payment by 60 days today, what happens to payroll next month?</w:t>
            </w:r>
          </w:p>
        </w:tc>
      </w:tr>
    </w:tbl>
    <w:p>
      <w:pPr>
        <w:spacing w:after="400" w:before="0"/>
      </w:pPr>
    </w:p>
    <w:p>
      <w:pPr>
        <w:spacing w:after="120" w:before="400"/>
      </w:pPr>
      <w:r>
        <w:rPr>
          <w:rFonts w:ascii="Calibri" w:cs="Calibri" w:eastAsia="Calibri" w:hAnsi="Calibri"/>
          <w:b/>
          <w:bCs/>
          <w:color w:val="C9A84C"/>
          <w:sz w:val="20"/>
          <w:szCs w:val="20"/>
        </w:rPr>
        <w:t xml:space="preserve">WHAT HAPPENS NEXT</w:t>
      </w:r>
    </w:p>
    <w:p>
      <w:pPr>
        <w:pBdr>
          <w:bottom w:val="single" w:color="C9A84C" w:sz="12"/>
        </w:pBdr>
        <w:spacing w:after="240" w:before="0"/>
      </w:pPr>
    </w:p>
    <w:p>
      <w:pPr>
        <w:spacing w:after="80" w:before="80"/>
        <w:jc w:val="left"/>
      </w:pPr>
      <w:r>
        <w:rPr>
          <w:rFonts w:ascii="Calibri" w:cs="Calibri" w:eastAsia="Calibri" w:hAnsi="Calibri"/>
          <w:b w:val="false"/>
          <w:bCs w:val="false"/>
          <w:i w:val="false"/>
          <w:iCs w:val="false"/>
          <w:color w:val="1A1A1A"/>
          <w:sz w:val="22"/>
          <w:szCs w:val="22"/>
        </w:rPr>
        <w:t xml:space="preserve">This note identifies three signals and four questions. It does not answer them. Answering them requires access to your management accounts, your client billing data, your timesheet system (if one exists), and a structured conversation about where the business has been and where it is going.</w:t>
      </w:r>
    </w:p>
    <w:p>
      <w:pPr>
        <w:spacing w:after="120" w:before="0"/>
      </w:pPr>
    </w:p>
    <w:p>
      <w:pPr>
        <w:spacing w:after="80" w:before="80"/>
        <w:jc w:val="left"/>
      </w:pPr>
      <w:r>
        <w:rPr>
          <w:rFonts w:ascii="Calibri" w:cs="Calibri" w:eastAsia="Calibri" w:hAnsi="Calibri"/>
          <w:b w:val="false"/>
          <w:bCs w:val="false"/>
          <w:i w:val="false"/>
          <w:iCs w:val="false"/>
          <w:color w:val="1A1A1A"/>
          <w:sz w:val="22"/>
          <w:szCs w:val="22"/>
        </w:rPr>
        <w:t xml:space="preserve">That is what the Diagnostic Sprint does. The Essential Sprint (€497) is the next step: a 90-minute working session, your numbers with my interpretation, your questions with direct answers. No slides. No frameworks. A conversation between someone who has run these numbers across 56 entities in 18 countries and someone who runs them in one business every day.</w:t>
      </w:r>
    </w:p>
    <w:p>
      <w:pPr>
        <w:spacing w:after="120" w:before="0"/>
      </w:pPr>
    </w:p>
    <w:tbl>
      <w:tblPr>
        <w:tblW w:type="dxa" w:w="8640"/>
        <w:tblBorders>
          <w:top w:val="none"/>
          <w:left w:val="none"/>
          <w:bottom w:val="none"/>
          <w:right w:val="none"/>
          <w:insideH w:val="single" w:color="auto" w:sz="4"/>
          <w:insideV w:val="single" w:color="auto" w:sz="4"/>
        </w:tblBorders>
        <w:tblLayout w:type="fixed"/>
      </w:tblPr>
      <w:tblGrid>
        <w:gridCol w:w="100"/>
      </w:tblGrid>
      <w:tr>
        <w:tc>
          <w:tcPr>
            <w:tcW w:type="dxa" w:w="8640"/>
            <w:tcBorders>
              <w:top w:val="none"/>
              <w:left w:val="none"/>
              <w:bottom w:val="none"/>
              <w:right w:val="none"/>
            </w:tcBorders>
            <w:shd w:fill="08111F" w:color="auto" w:val="clear"/>
            <w:tcMar>
              <w:top w:type="dxa" w:w="160"/>
              <w:left w:type="dxa" w:w="200"/>
              <w:bottom w:type="dxa" w:w="160"/>
              <w:right w:type="dxa" w:w="200"/>
            </w:tcMar>
          </w:tcPr>
          <w:p>
            <w:pPr>
              <w:spacing w:after="40" w:before="80"/>
              <w:jc w:val="center"/>
            </w:pPr>
            <w:r>
              <w:rPr>
                <w:rFonts w:ascii="Calibri" w:cs="Calibri" w:eastAsia="Calibri" w:hAnsi="Calibri"/>
                <w:b/>
                <w:bCs/>
                <w:color w:val="FFFFFF"/>
                <w:sz w:val="26"/>
                <w:szCs w:val="26"/>
              </w:rPr>
              <w:t xml:space="preserve">Book the 30-minute call</w:t>
            </w:r>
          </w:p>
          <w:p>
            <w:pPr>
              <w:spacing w:after="80" w:before="0"/>
              <w:jc w:val="center"/>
            </w:pPr>
            <w:r>
              <w:rPr>
                <w:rFonts w:ascii="Calibri" w:cs="Calibri" w:eastAsia="Calibri" w:hAnsi="Calibri"/>
                <w:color w:val="C9A84C"/>
                <w:sz w:val="20"/>
                <w:szCs w:val="20"/>
              </w:rPr>
              <w:t xml:space="preserve">calendly.com/satyabrata-das/45min</w:t>
            </w:r>
          </w:p>
        </w:tc>
      </w:tr>
    </w:tbl>
    <w:p>
      <w:pPr>
        <w:spacing w:after="360" w:before="0"/>
      </w:pPr>
    </w:p>
    <w:p>
      <w:pPr>
        <w:spacing w:after="120" w:before="400"/>
      </w:pPr>
      <w:r>
        <w:rPr>
          <w:rFonts w:ascii="Calibri" w:cs="Calibri" w:eastAsia="Calibri" w:hAnsi="Calibri"/>
          <w:b/>
          <w:bCs/>
          <w:color w:val="C9A84C"/>
          <w:sz w:val="20"/>
          <w:szCs w:val="20"/>
        </w:rPr>
        <w:t xml:space="preserve">ABOUT THE ADVISOR</w:t>
      </w:r>
    </w:p>
    <w:p>
      <w:pPr>
        <w:pBdr>
          <w:bottom w:val="single" w:color="C9A84C" w:sz="12"/>
        </w:pBdr>
        <w:spacing w:after="240" w:before="0"/>
      </w:pPr>
    </w:p>
    <w:tbl>
      <w:tblPr>
        <w:tblW w:type="dxa" w:w="8640"/>
        <w:tblBorders>
          <w:top w:val="none"/>
          <w:left w:val="none"/>
          <w:bottom w:val="none"/>
          <w:right w:val="none"/>
          <w:insideH w:val="single" w:color="auto" w:sz="4"/>
          <w:insideV w:val="single" w:color="auto" w:sz="4"/>
        </w:tblBorders>
        <w:tblLayout w:type="fixed"/>
      </w:tblPr>
      <w:tblGrid>
        <w:gridCol w:w="100"/>
        <w:gridCol w:w="100"/>
      </w:tblGrid>
      <w:tr>
        <w:tc>
          <w:tcPr>
            <w:tcW w:type="dxa" w:w="6000"/>
            <w:tcBorders>
              <w:top w:val="none"/>
              <w:left w:val="single" w:color="C9A84C" w:sz="8"/>
              <w:bottom w:val="none"/>
              <w:right w:val="none"/>
            </w:tcBorders>
            <w:shd w:fill="F5F5F5" w:color="auto" w:val="clear"/>
            <w:tcMar>
              <w:top w:type="dxa" w:w="160"/>
              <w:left w:type="dxa" w:w="200"/>
              <w:bottom w:type="dxa" w:w="160"/>
              <w:right w:type="dxa" w:w="200"/>
            </w:tcMar>
          </w:tcPr>
          <w:p>
            <w:pPr>
              <w:spacing w:after="60" w:before="0"/>
            </w:pPr>
            <w:r>
              <w:rPr>
                <w:rFonts w:ascii="Calibri" w:cs="Calibri" w:eastAsia="Calibri" w:hAnsi="Calibri"/>
                <w:b/>
                <w:bCs/>
                <w:color w:val="08111F"/>
                <w:sz w:val="26"/>
                <w:szCs w:val="26"/>
              </w:rPr>
              <w:t xml:space="preserve">Satyabrata Das</w:t>
            </w:r>
          </w:p>
          <w:p>
            <w:pPr>
              <w:spacing w:after="120" w:before="0"/>
            </w:pPr>
            <w:r>
              <w:rPr>
                <w:rFonts w:ascii="Calibri" w:cs="Calibri" w:eastAsia="Calibri" w:hAnsi="Calibri"/>
                <w:b/>
                <w:bCs/>
                <w:color w:val="C9A84C"/>
                <w:sz w:val="20"/>
                <w:szCs w:val="20"/>
              </w:rPr>
              <w:t xml:space="preserve">Strategic Finance Advisor</w:t>
            </w:r>
          </w:p>
          <w:p>
            <w:pPr>
              <w:spacing w:after="120" w:before="0"/>
            </w:pPr>
            <w:r>
              <w:rPr>
                <w:rFonts w:ascii="Calibri" w:cs="Calibri" w:eastAsia="Calibri" w:hAnsi="Calibri"/>
                <w:color w:val="1A1A1A"/>
                <w:sz w:val="19"/>
                <w:szCs w:val="19"/>
              </w:rPr>
              <w:t xml:space="preserve">Former Group CFO of WPP Scangroup (NSE-listed). 29 years across 56 entities in 18 countries including Publicis Groupe, Siemens, and WPP group companies. $200M+ P&amp;L managed. ACCA (UK), CPA (Kenya &amp; Australia), Harvard Business School Executive Education, MBA (Finance).</w:t>
            </w:r>
          </w:p>
          <w:p>
            <w:pPr>
              <w:spacing w:after="0" w:before="0"/>
            </w:pPr>
            <w:r>
              <w:rPr>
                <w:rFonts w:ascii="Calibri" w:cs="Calibri" w:eastAsia="Calibri" w:hAnsi="Calibri"/>
                <w:i/>
                <w:iCs/>
                <w:color w:val="1A1A1A"/>
                <w:sz w:val="19"/>
                <w:szCs w:val="19"/>
              </w:rPr>
              <w:t xml:space="preserve">I work exclusively with agencies, media businesses, consultancies, and MarTech firms. You do not need to explain the industry to me. That saves time — and in advisory, time is the only thing you cannot buy back.</w:t>
            </w:r>
          </w:p>
        </w:tc>
        <w:tc>
          <w:tcPr>
            <w:tcW w:type="dxa" w:w="2640"/>
            <w:tcBorders>
              <w:top w:val="none"/>
              <w:left w:val="none"/>
              <w:bottom w:val="none"/>
              <w:right w:val="none"/>
            </w:tcBorders>
            <w:shd w:fill="08111F" w:color="auto" w:val="clear"/>
            <w:tcMar>
              <w:top w:type="dxa" w:w="200"/>
              <w:left w:type="dxa" w:w="160"/>
              <w:bottom w:type="dxa" w:w="200"/>
              <w:right w:type="dxa" w:w="160"/>
            </w:tcMar>
            <w:vAlign w:val="center"/>
          </w:tcPr>
          <w:p>
            <w:pPr>
              <w:spacing w:after="0" w:before="0"/>
              <w:jc w:val="center"/>
            </w:pPr>
            <w:r>
              <w:rPr>
                <w:rFonts w:ascii="Calibri" w:cs="Calibri" w:eastAsia="Calibri" w:hAnsi="Calibri"/>
                <w:b/>
                <w:bCs/>
                <w:color w:val="C9A84C"/>
                <w:sz w:val="52"/>
                <w:szCs w:val="52"/>
              </w:rPr>
              <w:t xml:space="preserve">29</w:t>
            </w:r>
          </w:p>
          <w:p>
            <w:pPr>
              <w:spacing w:after="120" w:before="0"/>
              <w:jc w:val="center"/>
            </w:pPr>
            <w:r>
              <w:rPr>
                <w:rFonts w:ascii="Calibri" w:cs="Calibri" w:eastAsia="Calibri" w:hAnsi="Calibri"/>
                <w:color w:val="6B7280"/>
                <w:sz w:val="18"/>
                <w:szCs w:val="18"/>
              </w:rPr>
              <w:t xml:space="preserve">years</w:t>
            </w:r>
          </w:p>
          <w:p>
            <w:pPr>
              <w:spacing w:after="0" w:before="0"/>
              <w:jc w:val="center"/>
            </w:pPr>
            <w:r>
              <w:rPr>
                <w:rFonts w:ascii="Calibri" w:cs="Calibri" w:eastAsia="Calibri" w:hAnsi="Calibri"/>
                <w:b/>
                <w:bCs/>
                <w:color w:val="C9A84C"/>
                <w:sz w:val="52"/>
                <w:szCs w:val="52"/>
              </w:rPr>
              <w:t xml:space="preserve">56</w:t>
            </w:r>
          </w:p>
          <w:p>
            <w:pPr>
              <w:spacing w:after="120" w:before="0"/>
              <w:jc w:val="center"/>
            </w:pPr>
            <w:r>
              <w:rPr>
                <w:rFonts w:ascii="Calibri" w:cs="Calibri" w:eastAsia="Calibri" w:hAnsi="Calibri"/>
                <w:color w:val="6B7280"/>
                <w:sz w:val="18"/>
                <w:szCs w:val="18"/>
              </w:rPr>
              <w:t xml:space="preserve">entities</w:t>
            </w:r>
          </w:p>
          <w:p>
            <w:pPr>
              <w:spacing w:after="0" w:before="0"/>
              <w:jc w:val="center"/>
            </w:pPr>
            <w:r>
              <w:rPr>
                <w:rFonts w:ascii="Calibri" w:cs="Calibri" w:eastAsia="Calibri" w:hAnsi="Calibri"/>
                <w:b/>
                <w:bCs/>
                <w:color w:val="C9A84C"/>
                <w:sz w:val="52"/>
                <w:szCs w:val="52"/>
              </w:rPr>
              <w:t xml:space="preserve">18</w:t>
            </w:r>
          </w:p>
          <w:p>
            <w:pPr>
              <w:spacing w:after="0" w:before="0"/>
              <w:jc w:val="center"/>
            </w:pPr>
            <w:r>
              <w:rPr>
                <w:rFonts w:ascii="Calibri" w:cs="Calibri" w:eastAsia="Calibri" w:hAnsi="Calibri"/>
                <w:color w:val="6B7280"/>
                <w:sz w:val="18"/>
                <w:szCs w:val="18"/>
              </w:rPr>
              <w:t xml:space="preserve">countries</w:t>
            </w:r>
          </w:p>
        </w:tc>
      </w:tr>
    </w:tbl>
    <w:p>
      <w:pPr>
        <w:spacing w:after="240" w:before="0"/>
      </w:pPr>
    </w:p>
    <w:p>
      <w:pPr>
        <w:jc w:val="center"/>
      </w:pPr>
      <w:r>
        <w:rPr>
          <w:rFonts w:ascii="Calibri" w:cs="Calibri" w:eastAsia="Calibri" w:hAnsi="Calibri"/>
          <w:color w:val="6B7280"/>
          <w:sz w:val="16"/>
          <w:szCs w:val="16"/>
        </w:rPr>
        <w:t xml:space="preserve">Phoenix SSA Sp. z o.o. · Warsaw, Poland · NIP PL5253039035 · phoenix-ssa.com</w:t>
      </w:r>
    </w:p>
    <w:sectPr>
      <w:headerReference w:type="default" r:id="rId7"/>
      <w:footerReference w:type="default" r:id="rId8"/>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A84C" w:sz="4"/>
      </w:pBdr>
      <w:spacing w:before="120"/>
      <w:jc w:val="center"/>
    </w:pPr>
    <w:r>
      <w:rPr>
        <w:rFonts w:ascii="Calibri" w:cs="Calibri" w:eastAsia="Calibri" w:hAnsi="Calibri"/>
        <w:color w:val="6B7280"/>
        <w:sz w:val="16"/>
        <w:szCs w:val="16"/>
      </w:rPr>
      <w:t xml:space="preserve">Satyabrata Das · Strategic Finance Advisor     |     Phoenix SSA Sp. z o.o., Warsaw, Poland     |     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8640"/>
      <w:tblBorders>
        <w:top w:val="none"/>
        <w:left w:val="none"/>
        <w:bottom w:val="none"/>
        <w:right w:val="none"/>
        <w:insideH w:val="single" w:color="auto" w:sz="4"/>
        <w:insideV w:val="single" w:color="auto" w:sz="4"/>
      </w:tblBorders>
      <w:tblLayout w:type="fixed"/>
    </w:tblPr>
    <w:tblGrid>
      <w:gridCol w:w="100"/>
      <w:gridCol w:w="100"/>
    </w:tblGrid>
    <w:tr>
      <w:tc>
        <w:tcPr>
          <w:tcW w:type="dxa" w:w="4320"/>
          <w:tcBorders>
            <w:top w:val="none"/>
            <w:left w:val="none"/>
            <w:bottom w:val="none"/>
            <w:right w:val="none"/>
          </w:tcBorders>
          <w:shd w:fill="08111F" w:color="auto" w:val="clear"/>
          <w:tcMar>
            <w:top w:type="dxa" w:w="80"/>
            <w:left w:type="dxa" w:w="160"/>
            <w:bottom w:type="dxa" w:w="80"/>
            <w:right w:type="dxa" w:w="160"/>
          </w:tcMar>
        </w:tcPr>
        <w:p>
          <w:r>
            <w:rPr>
              <w:rFonts w:ascii="Calibri" w:cs="Calibri" w:eastAsia="Calibri" w:hAnsi="Calibri"/>
              <w:b/>
              <w:bCs/>
              <w:color w:val="FFFFFF"/>
              <w:sz w:val="18"/>
              <w:szCs w:val="18"/>
            </w:rPr>
            <w:t xml:space="preserve">PHOENIX SSA</w:t>
          </w:r>
        </w:p>
      </w:tc>
      <w:tc>
        <w:tcPr>
          <w:tcW w:type="dxa" w:w="4320"/>
          <w:tcBorders>
            <w:top w:val="none"/>
            <w:left w:val="none"/>
            <w:bottom w:val="none"/>
            <w:right w:val="none"/>
          </w:tcBorders>
          <w:shd w:fill="08111F" w:color="auto" w:val="clear"/>
          <w:tcMar>
            <w:top w:type="dxa" w:w="80"/>
            <w:left w:type="dxa" w:w="160"/>
            <w:bottom w:type="dxa" w:w="80"/>
            <w:right w:type="dxa" w:w="160"/>
          </w:tcMar>
        </w:tcPr>
        <w:p>
          <w:pPr>
            <w:jc w:val="right"/>
          </w:pPr>
          <w:r>
            <w:rPr>
              <w:rFonts w:ascii="Calibri" w:cs="Calibri" w:eastAsia="Calibri" w:hAnsi="Calibri"/>
              <w:b/>
              <w:bCs/>
              <w:color w:val="C9A84C"/>
              <w:sz w:val="18"/>
              <w:szCs w:val="18"/>
            </w:rPr>
            <w:t xml:space="preserve">MARGIN NOTE — ESSENTIAL</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2026-07-12T11:57:16.840Z</dcterms:created>
  <dcterms:modified xsi:type="dcterms:W3CDTF">2026-07-12T11:57:16.852Z</dcterms:modified>
</cp:coreProperties>
</file>

<file path=docProps/custom.xml><?xml version="1.0" encoding="utf-8"?>
<Properties xmlns="http://schemas.openxmlformats.org/officeDocument/2006/custom-properties" xmlns:vt="http://schemas.openxmlformats.org/officeDocument/2006/docPropsVTypes"/>
</file>