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80"/>
      </w:pPr>
      <w:r>
        <w:rPr>
          <w:sz w:val="48"/>
          <w:szCs w:val="48"/>
        </w:rPr>
        <w:t xml:space="preserve"> </w:t>
      </w:r>
    </w:p>
    <w:p>
      <w:pPr>
        <w:spacing w:after="0" w:before="0"/>
      </w:pPr>
      <w:r>
        <w:rPr>
          <w:rFonts w:ascii="Calibri" w:cs="Calibri" w:eastAsia="Calibri" w:hAnsi="Calibri"/>
          <w:b/>
          <w:bCs/>
          <w:color w:val="08111F"/>
          <w:sz w:val="64"/>
          <w:szCs w:val="64"/>
        </w:rPr>
        <w:t xml:space="preserve">DIAGNOSTIC REPORT</w:t>
      </w:r>
    </w:p>
    <w:p>
      <w:pPr>
        <w:spacing w:after="400" w:before="80"/>
      </w:pPr>
      <w:r>
        <w:rPr>
          <w:rFonts w:ascii="Calibri" w:cs="Calibri" w:eastAsia="Calibri" w:hAnsi="Calibri"/>
          <w:b/>
          <w:bCs/>
          <w:color w:val="C9A84C"/>
          <w:sz w:val="32"/>
          <w:szCs w:val="32"/>
        </w:rPr>
        <w:t xml:space="preserve">Full Diagnostic Sprint</w:t>
      </w:r>
    </w:p>
    <w:p>
      <w:pPr>
        <w:pBdr>
          <w:bottom w:val="single" w:color="C9A84C" w:sz="12"/>
        </w:pBdr>
        <w:spacing w:after="240" w:before="0"/>
      </w:pPr>
    </w:p>
    <w:p>
      <w:pPr>
        <w:spacing w:after="20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324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Prepared for</w:t>
            </w:r>
          </w:p>
        </w:tc>
        <w:tc>
          <w:tcPr>
            <w:tcW w:type="dxa" w:w="540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b/>
                <w:bCs/>
                <w:color w:val="08111F"/>
                <w:sz w:val="19"/>
                <w:szCs w:val="19"/>
              </w:rPr>
              <w:t xml:space="preserve">Meridian Content Group</w:t>
            </w:r>
          </w:p>
        </w:tc>
      </w:tr>
      <w:tr>
        <w:tc>
          <w:tcPr>
            <w:tcW w:type="dxa" w:w="3240"/>
            <w:tcBorders>
              <w:top w:val="none"/>
              <w:left w:val="none"/>
              <w:bottom w:val="single" w:color="E0E0E0" w:sz="2"/>
              <w:right w:val="none"/>
            </w:tcBorders>
            <w:shd w:fill="F5F5F5"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Contact</w:t>
            </w:r>
          </w:p>
        </w:tc>
        <w:tc>
          <w:tcPr>
            <w:tcW w:type="dxa" w:w="5400"/>
            <w:tcBorders>
              <w:top w:val="none"/>
              <w:left w:val="none"/>
              <w:bottom w:val="single" w:color="E0E0E0" w:sz="2"/>
              <w:right w:val="none"/>
            </w:tcBorders>
            <w:shd w:fill="F5F5F5" w:color="auto" w:val="clear"/>
            <w:tcMar>
              <w:top w:type="dxa" w:w="60"/>
              <w:left w:type="dxa" w:w="120"/>
              <w:bottom w:type="dxa" w:w="60"/>
              <w:right w:type="dxa" w:w="120"/>
            </w:tcMar>
          </w:tcPr>
          <w:p>
            <w:pPr>
              <w:spacing w:after="40" w:before="60"/>
            </w:pPr>
            <w:r>
              <w:rPr>
                <w:rFonts w:ascii="Calibri" w:cs="Calibri" w:eastAsia="Calibri" w:hAnsi="Calibri"/>
                <w:color w:val="1A1A1A"/>
                <w:sz w:val="19"/>
                <w:szCs w:val="19"/>
              </w:rPr>
              <w:t xml:space="preserve">Marc Verlinden, Managing Partner</w:t>
            </w:r>
          </w:p>
        </w:tc>
      </w:tr>
      <w:tr>
        <w:tc>
          <w:tcPr>
            <w:tcW w:type="dxa" w:w="324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Engagement</w:t>
            </w:r>
          </w:p>
        </w:tc>
        <w:tc>
          <w:tcPr>
            <w:tcW w:type="dxa" w:w="540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b/>
                <w:bCs/>
                <w:color w:val="C9A84C"/>
                <w:sz w:val="19"/>
                <w:szCs w:val="19"/>
              </w:rPr>
              <w:t xml:space="preserve">Diagnostic Sprint — €2,497</w:t>
            </w:r>
          </w:p>
        </w:tc>
      </w:tr>
      <w:tr>
        <w:tc>
          <w:tcPr>
            <w:tcW w:type="dxa" w:w="3240"/>
            <w:tcBorders>
              <w:top w:val="none"/>
              <w:left w:val="none"/>
              <w:bottom w:val="single" w:color="E0E0E0" w:sz="2"/>
              <w:right w:val="none"/>
            </w:tcBorders>
            <w:shd w:fill="FFF8E7"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Revenue</w:t>
            </w:r>
          </w:p>
        </w:tc>
        <w:tc>
          <w:tcPr>
            <w:tcW w:type="dxa" w:w="5400"/>
            <w:tcBorders>
              <w:top w:val="none"/>
              <w:left w:val="none"/>
              <w:bottom w:val="single" w:color="E0E0E0" w:sz="2"/>
              <w:right w:val="none"/>
            </w:tcBorders>
            <w:shd w:fill="FFF8E7" w:color="auto" w:val="clear"/>
            <w:tcMar>
              <w:top w:type="dxa" w:w="60"/>
              <w:left w:type="dxa" w:w="120"/>
              <w:bottom w:type="dxa" w:w="60"/>
              <w:right w:type="dxa" w:w="120"/>
            </w:tcMar>
          </w:tcPr>
          <w:p>
            <w:pPr>
              <w:spacing w:after="40" w:before="60"/>
            </w:pPr>
            <w:r>
              <w:rPr>
                <w:rFonts w:ascii="Calibri" w:cs="Calibri" w:eastAsia="Calibri" w:hAnsi="Calibri"/>
                <w:b/>
                <w:bCs/>
                <w:color w:val="08111F"/>
                <w:sz w:val="19"/>
                <w:szCs w:val="19"/>
              </w:rPr>
              <w:t xml:space="preserve">€6,200,000</w:t>
            </w:r>
          </w:p>
        </w:tc>
      </w:tr>
      <w:tr>
        <w:tc>
          <w:tcPr>
            <w:tcW w:type="dxa" w:w="324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Prepared by</w:t>
            </w:r>
          </w:p>
        </w:tc>
        <w:tc>
          <w:tcPr>
            <w:tcW w:type="dxa" w:w="5400"/>
            <w:tcBorders>
              <w:top w:val="none"/>
              <w:left w:val="none"/>
              <w:bottom w:val="single" w:color="E0E0E0" w:sz="2"/>
              <w:right w:val="none"/>
            </w:tcBorders>
            <w:shd w:fill="FFFFFF" w:color="auto" w:val="clear"/>
            <w:tcMar>
              <w:top w:type="dxa" w:w="60"/>
              <w:left w:type="dxa" w:w="120"/>
              <w:bottom w:type="dxa" w:w="60"/>
              <w:right w:type="dxa" w:w="120"/>
            </w:tcMar>
          </w:tcPr>
          <w:p>
            <w:pPr>
              <w:spacing w:after="40" w:before="60"/>
            </w:pPr>
            <w:r>
              <w:rPr>
                <w:rFonts w:ascii="Calibri" w:cs="Calibri" w:eastAsia="Calibri" w:hAnsi="Calibri"/>
                <w:color w:val="1A1A1A"/>
                <w:sz w:val="19"/>
                <w:szCs w:val="19"/>
              </w:rPr>
              <w:t xml:space="preserve">Satyabrata Das · Strategic Finance Advisor</w:t>
            </w:r>
          </w:p>
        </w:tc>
      </w:tr>
      <w:tr>
        <w:tc>
          <w:tcPr>
            <w:tcW w:type="dxa" w:w="3240"/>
            <w:tcBorders>
              <w:top w:val="none"/>
              <w:left w:val="none"/>
              <w:bottom w:val="none"/>
              <w:right w:val="none"/>
            </w:tcBorders>
            <w:shd w:fill="F5F5F5" w:color="auto" w:val="clear"/>
            <w:tcMar>
              <w:top w:type="dxa" w:w="60"/>
              <w:left w:type="dxa" w:w="120"/>
              <w:bottom w:type="dxa" w:w="60"/>
              <w:right w:type="dxa" w:w="120"/>
            </w:tcMar>
          </w:tcPr>
          <w:p>
            <w:pPr>
              <w:spacing w:after="40" w:before="60"/>
            </w:pPr>
            <w:r>
              <w:rPr>
                <w:rFonts w:ascii="Calibri" w:cs="Calibri" w:eastAsia="Calibri" w:hAnsi="Calibri"/>
                <w:color w:val="6B7280"/>
                <w:sz w:val="19"/>
                <w:szCs w:val="19"/>
              </w:rPr>
              <w:t xml:space="preserve">Status</w:t>
            </w:r>
          </w:p>
        </w:tc>
        <w:tc>
          <w:tcPr>
            <w:tcW w:type="dxa" w:w="5400"/>
            <w:tcBorders>
              <w:top w:val="none"/>
              <w:left w:val="none"/>
              <w:bottom w:val="none"/>
              <w:right w:val="none"/>
            </w:tcBorders>
            <w:shd w:fill="F5F5F5" w:color="auto" w:val="clear"/>
            <w:tcMar>
              <w:top w:type="dxa" w:w="60"/>
              <w:left w:type="dxa" w:w="120"/>
              <w:bottom w:type="dxa" w:w="60"/>
              <w:right w:type="dxa" w:w="120"/>
            </w:tcMar>
          </w:tcPr>
          <w:p>
            <w:pPr>
              <w:spacing w:after="40" w:before="60"/>
            </w:pPr>
            <w:r>
              <w:rPr>
                <w:rFonts w:ascii="Calibri" w:cs="Calibri" w:eastAsia="Calibri" w:hAnsi="Calibri"/>
                <w:b/>
                <w:bCs/>
                <w:color w:val="B91C1C"/>
                <w:sz w:val="19"/>
                <w:szCs w:val="19"/>
              </w:rPr>
              <w:t xml:space="preserve">CONFIDENTIAL — FOR RECIPIENT ONLY</w:t>
            </w:r>
          </w:p>
        </w:tc>
      </w:tr>
    </w:tbl>
    <w:p>
      <w:pPr>
        <w:spacing w:after="400" w:before="0"/>
      </w:pPr>
    </w:p>
    <w:tbl>
      <w:tblPr>
        <w:tblW w:type="dxa" w:w="8640"/>
        <w:tblBorders>
          <w:top w:val="none"/>
          <w:left w:val="none"/>
          <w:bottom w:val="none"/>
          <w:right w:val="none"/>
          <w:insideH w:val="single" w:color="auto" w:sz="4"/>
          <w:insideV w:val="single" w:color="auto" w:sz="4"/>
        </w:tblBorders>
        <w:tblLayout w:type="fixed"/>
      </w:tblPr>
      <w:tblGrid>
        <w:gridCol w:w="100"/>
      </w:tblGrid>
      <w:tr>
        <w:tc>
          <w:tcPr>
            <w:tcW w:type="dxa" w:w="8640"/>
            <w:tcBorders>
              <w:top w:val="single" w:color="08111F" w:sz="4"/>
              <w:left w:val="single" w:color="08111F" w:sz="16"/>
              <w:bottom w:val="single" w:color="08111F" w:sz="4"/>
              <w:right w:val="none"/>
            </w:tcBorders>
            <w:shd w:fill="F0F4FF" w:color="auto" w:val="clear"/>
            <w:tcMar>
              <w:top w:type="dxa" w:w="140"/>
              <w:left w:type="dxa" w:w="200"/>
              <w:bottom w:type="dxa" w:w="140"/>
              <w:right w:type="dxa" w:w="200"/>
            </w:tcMar>
          </w:tcPr>
          <w:p>
            <w:pPr>
              <w:spacing w:after="80" w:before="0"/>
            </w:pPr>
            <w:r>
              <w:rPr>
                <w:rFonts w:ascii="Calibri" w:cs="Calibri" w:eastAsia="Calibri" w:hAnsi="Calibri"/>
                <w:b/>
                <w:bCs/>
                <w:color w:val="08111F"/>
                <w:sz w:val="18"/>
                <w:szCs w:val="18"/>
              </w:rPr>
              <w:t xml:space="preserve">SCOPE OF THIS DIAGNOSTIC</w:t>
            </w:r>
          </w:p>
          <w:p>
            <w:pPr>
              <w:spacing w:after="80" w:before="0"/>
            </w:pPr>
            <w:r>
              <w:rPr>
                <w:rFonts w:ascii="Calibri" w:cs="Calibri" w:eastAsia="Calibri" w:hAnsi="Calibri"/>
                <w:color w:val="1A1A1A"/>
                <w:sz w:val="18"/>
                <w:szCs w:val="18"/>
              </w:rPr>
              <w:t xml:space="preserve">This diagnostic covers: management accounts review (three periods), full benchmark comparison across 8 key metrics, client profitability assessment, cash and working capital analysis, and an action brief with prioritised recommendations. It was produced following a 90-minute structured briefing session with the Managing Partner.</w:t>
            </w:r>
          </w:p>
          <w:p>
            <w:pPr>
              <w:spacing w:after="0" w:before="0"/>
            </w:pPr>
            <w:r>
              <w:rPr>
                <w:rFonts w:ascii="Calibri" w:cs="Calibri" w:eastAsia="Calibri" w:hAnsi="Calibri"/>
                <w:i/>
                <w:iCs/>
                <w:color w:val="6B7280"/>
                <w:sz w:val="18"/>
                <w:szCs w:val="18"/>
              </w:rPr>
              <w:t xml:space="preserve">It does not constitute an audit. It is an advisory assessment based on management information provided by the client and cross-referenced against sector benchmarks derived from 29 years of direct operating experience across agency and media businesses.</w:t>
            </w:r>
          </w:p>
        </w:tc>
      </w:tr>
    </w:tbl>
    <w:p>
      <w:pPr>
        <w:spacing w:after="400" w:before="0"/>
      </w:pPr>
    </w:p>
    <w:p>
      <w:pPr>
        <w:spacing w:after="100" w:before="500"/>
      </w:pPr>
      <w:r>
        <w:rPr>
          <w:rFonts w:ascii="Calibri" w:cs="Calibri" w:eastAsia="Calibri" w:hAnsi="Calibri"/>
          <w:b/>
          <w:bCs/>
          <w:color w:val="C9A84C"/>
          <w:sz w:val="20"/>
          <w:szCs w:val="20"/>
        </w:rPr>
        <w:t xml:space="preserve">EXECUTIVE SUMMARY</w:t>
      </w:r>
    </w:p>
    <w:p>
      <w:pPr>
        <w:pBdr>
          <w:bottom w:val="single" w:color="C9A84C" w:sz="12"/>
        </w:pBdr>
        <w:spacing w:after="24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5760"/>
            <w:tcBorders>
              <w:top w:val="none"/>
              <w:left w:val="none"/>
              <w:bottom w:val="none"/>
              <w:right w:val="single" w:color="C9A84C" w:sz="4"/>
            </w:tcBorders>
            <w:shd w:fill="08111F" w:color="auto" w:val="clear"/>
            <w:tcMar>
              <w:top w:type="dxa" w:w="180"/>
              <w:left w:type="dxa" w:w="220"/>
              <w:bottom w:type="dxa" w:w="180"/>
              <w:right w:type="dxa" w:w="220"/>
            </w:tcMar>
          </w:tcPr>
          <w:p>
            <w:pPr>
              <w:spacing w:after="80" w:before="0"/>
            </w:pPr>
            <w:r>
              <w:rPr>
                <w:rFonts w:ascii="Calibri" w:cs="Calibri" w:eastAsia="Calibri" w:hAnsi="Calibri"/>
                <w:b/>
                <w:bCs/>
                <w:color w:val="FFFFFF"/>
                <w:sz w:val="19"/>
                <w:szCs w:val="19"/>
              </w:rPr>
              <w:t xml:space="preserve">THE CORE ISSUE</w:t>
            </w:r>
          </w:p>
          <w:p>
            <w:pPr>
              <w:spacing w:after="120" w:before="0"/>
            </w:pPr>
            <w:r>
              <w:rPr>
                <w:rFonts w:ascii="Calibri" w:cs="Calibri" w:eastAsia="Calibri" w:hAnsi="Calibri"/>
                <w:color w:val="FFFFFF"/>
                <w:sz w:val="20"/>
                <w:szCs w:val="20"/>
              </w:rPr>
              <w:t xml:space="preserve">Meridian is a profitable agency running at unprofitable client relationships. The P&amp;L shows a business. The client-by-client analysis shows a different one.</w:t>
            </w:r>
          </w:p>
          <w:p>
            <w:pPr>
              <w:spacing w:after="120" w:before="0"/>
            </w:pPr>
            <w:r>
              <w:rPr>
                <w:rFonts w:ascii="Calibri" w:cs="Calibri" w:eastAsia="Calibri" w:hAnsi="Calibri"/>
                <w:color w:val="FFFFFF"/>
                <w:sz w:val="20"/>
                <w:szCs w:val="20"/>
              </w:rPr>
              <w:t xml:space="preserve">Two of the top three revenue clients are margin-negative after internal hours. The agency has been subsidising its largest client relationships with its best people. The business survives on the margin generated by smaller, better-scoped engagements that the partners treat as secondary.</w:t>
            </w:r>
          </w:p>
          <w:p>
            <w:pPr>
              <w:spacing w:after="0" w:before="0"/>
            </w:pPr>
            <w:r>
              <w:rPr>
                <w:rFonts w:ascii="Calibri" w:cs="Calibri" w:eastAsia="Calibri" w:hAnsi="Calibri"/>
                <w:b/>
                <w:bCs/>
                <w:color w:val="C9A84C"/>
                <w:sz w:val="20"/>
                <w:szCs w:val="20"/>
              </w:rPr>
              <w:t xml:space="preserve">The cash position — 18 days of cover — means there is no buffer if this dynamic continues for another quarter.</w:t>
            </w:r>
          </w:p>
        </w:tc>
        <w:tc>
          <w:tcPr>
            <w:tcW w:type="dxa" w:w="2880"/>
            <w:tcBorders>
              <w:top w:val="none"/>
              <w:left w:val="none"/>
              <w:bottom w:val="none"/>
              <w:right w:val="none"/>
            </w:tcBorders>
            <w:shd w:fill="F5F5F5" w:color="auto" w:val="clear"/>
            <w:tcMar>
              <w:top w:type="dxa" w:w="180"/>
              <w:left w:type="dxa" w:w="200"/>
              <w:bottom w:type="dxa" w:w="180"/>
              <w:right w:type="dxa" w:w="200"/>
            </w:tcMar>
            <w:vAlign w:val="top"/>
          </w:tcPr>
          <w:p>
            <w:pPr>
              <w:spacing w:after="100" w:before="0"/>
            </w:pPr>
            <w:r>
              <w:rPr>
                <w:rFonts w:ascii="Calibri" w:cs="Calibri" w:eastAsia="Calibri" w:hAnsi="Calibri"/>
                <w:b/>
                <w:bCs/>
                <w:color w:val="6B7280"/>
                <w:sz w:val="17"/>
                <w:szCs w:val="17"/>
              </w:rPr>
              <w:t xml:space="preserve">HEADLINE METRICS</w:t>
            </w:r>
          </w:p>
          <w:p>
            <w:pPr>
              <w:spacing w:after="0" w:before="0"/>
            </w:pPr>
            <w:r>
              <w:rPr>
                <w:rFonts w:ascii="Calibri" w:cs="Calibri" w:eastAsia="Calibri" w:hAnsi="Calibri"/>
                <w:b/>
                <w:bCs/>
                <w:color w:val="B91C1C"/>
                <w:sz w:val="40"/>
                <w:szCs w:val="40"/>
              </w:rPr>
              <w:t xml:space="preserve">9.7%</w:t>
            </w:r>
          </w:p>
          <w:p>
            <w:pPr>
              <w:spacing w:after="140" w:before="0"/>
            </w:pPr>
            <w:r>
              <w:rPr>
                <w:rFonts w:ascii="Calibri" w:cs="Calibri" w:eastAsia="Calibri" w:hAnsi="Calibri"/>
                <w:color w:val="6B7280"/>
                <w:sz w:val="17"/>
                <w:szCs w:val="17"/>
              </w:rPr>
              <w:t xml:space="preserve">Operating margin vs 12–16% benchmark</w:t>
            </w:r>
          </w:p>
          <w:p>
            <w:pPr>
              <w:spacing w:after="0" w:before="0"/>
            </w:pPr>
            <w:r>
              <w:rPr>
                <w:rFonts w:ascii="Calibri" w:cs="Calibri" w:eastAsia="Calibri" w:hAnsi="Calibri"/>
                <w:b/>
                <w:bCs/>
                <w:color w:val="B91C1C"/>
                <w:sz w:val="40"/>
                <w:szCs w:val="40"/>
              </w:rPr>
              <w:t xml:space="preserve">18 days</w:t>
            </w:r>
          </w:p>
          <w:p>
            <w:pPr>
              <w:spacing w:after="140" w:before="0"/>
            </w:pPr>
            <w:r>
              <w:rPr>
                <w:rFonts w:ascii="Calibri" w:cs="Calibri" w:eastAsia="Calibri" w:hAnsi="Calibri"/>
                <w:color w:val="6B7280"/>
                <w:sz w:val="17"/>
                <w:szCs w:val="17"/>
              </w:rPr>
              <w:t xml:space="preserve">Cash cover vs 30–45 day benchmark</w:t>
            </w:r>
          </w:p>
          <w:p>
            <w:pPr>
              <w:spacing w:after="0" w:before="0"/>
            </w:pPr>
            <w:r>
              <w:rPr>
                <w:rFonts w:ascii="Calibri" w:cs="Calibri" w:eastAsia="Calibri" w:hAnsi="Calibri"/>
                <w:b/>
                <w:bCs/>
                <w:color w:val="B45309"/>
                <w:sz w:val="40"/>
                <w:szCs w:val="40"/>
              </w:rPr>
              <w:t xml:space="preserve">5 of 8</w:t>
            </w:r>
          </w:p>
          <w:p>
            <w:pPr>
              <w:spacing w:after="0" w:before="0"/>
            </w:pPr>
            <w:r>
              <w:rPr>
                <w:rFonts w:ascii="Calibri" w:cs="Calibri" w:eastAsia="Calibri" w:hAnsi="Calibri"/>
                <w:color w:val="6B7280"/>
                <w:sz w:val="17"/>
                <w:szCs w:val="17"/>
              </w:rPr>
              <w:t xml:space="preserve">Metrics below sector benchmark</w:t>
            </w:r>
          </w:p>
        </w:tc>
      </w:tr>
    </w:tbl>
    <w:p>
      <w:pPr>
        <w:spacing w:after="400" w:before="0"/>
      </w:pPr>
    </w:p>
    <w:p>
      <w:pPr>
        <w:spacing w:after="100" w:before="500"/>
      </w:pPr>
      <w:r>
        <w:rPr>
          <w:rFonts w:ascii="Calibri" w:cs="Calibri" w:eastAsia="Calibri" w:hAnsi="Calibri"/>
          <w:b/>
          <w:bCs/>
          <w:color w:val="C9A84C"/>
          <w:sz w:val="20"/>
          <w:szCs w:val="20"/>
        </w:rPr>
        <w:t xml:space="preserve">FULL BENCHMARK COMPARISON</w:t>
      </w:r>
    </w:p>
    <w:p>
      <w:pPr>
        <w:pBdr>
          <w:bottom w:val="single" w:color="C9A84C" w:sz="12"/>
        </w:pBdr>
        <w:spacing w:after="240" w:before="0"/>
      </w:pPr>
    </w:p>
    <w:p>
      <w:pPr>
        <w:spacing w:after="80" w:before="80"/>
        <w:jc w:val="left"/>
      </w:pPr>
      <w:r>
        <w:rPr>
          <w:rFonts w:ascii="Calibri" w:cs="Calibri" w:eastAsia="Calibri" w:hAnsi="Calibri"/>
          <w:b w:val="false"/>
          <w:bCs w:val="false"/>
          <w:i w:val="false"/>
          <w:iCs w:val="false"/>
          <w:color w:val="6B7280"/>
          <w:sz w:val="21"/>
          <w:szCs w:val="21"/>
        </w:rPr>
        <w:t xml:space="preserve">All figures based on management information provided. Benchmarks derived from sector data across agency and media businesses.</w:t>
      </w:r>
    </w:p>
    <w:p>
      <w:pPr>
        <w:spacing w:after="16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gridCol w:w="100"/>
        <w:gridCol w:w="100"/>
        <w:gridCol w:w="100"/>
      </w:tblGrid>
      <w:tr>
        <w:tc>
          <w:tcPr>
            <w:tcW w:type="dxa" w:w="288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METRIC</w:t>
            </w:r>
          </w:p>
        </w:tc>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YOUR FIGURE</w:t>
            </w:r>
          </w:p>
        </w:tc>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BENCHMARK</w:t>
            </w:r>
          </w:p>
        </w:tc>
        <w:tc>
          <w:tcPr>
            <w:tcW w:type="dxa" w:w="1440"/>
            <w:shd w:fill="08111F" w:color="auto" w:val="clear"/>
            <w:tcMar>
              <w:top w:type="dxa" w:w="80"/>
              <w:left w:type="dxa" w:w="80"/>
              <w:bottom w:type="dxa" w:w="80"/>
              <w:right w:type="dxa" w:w="80"/>
            </w:tcMar>
          </w:tcPr>
          <w:p>
            <w:pPr>
              <w:spacing w:after="80" w:before="80"/>
              <w:jc w:val="center"/>
            </w:pPr>
            <w:r>
              <w:rPr>
                <w:rFonts w:ascii="Calibri" w:cs="Calibri" w:eastAsia="Calibri" w:hAnsi="Calibri"/>
                <w:b/>
                <w:bCs/>
                <w:color w:val="FFFFFF"/>
                <w:sz w:val="18"/>
                <w:szCs w:val="18"/>
              </w:rPr>
              <w:t xml:space="preserve">GAP</w:t>
            </w:r>
          </w:p>
        </w:tc>
        <w:tc>
          <w:tcPr>
            <w:tcW w:type="dxa" w:w="1440"/>
            <w:shd w:fill="08111F" w:color="auto" w:val="clear"/>
            <w:tcMar>
              <w:top w:type="dxa" w:w="80"/>
              <w:left w:type="dxa" w:w="80"/>
              <w:bottom w:type="dxa" w:w="80"/>
              <w:right w:type="dxa" w:w="80"/>
            </w:tcMar>
          </w:tcPr>
          <w:p>
            <w:pPr>
              <w:spacing w:after="80" w:before="80"/>
              <w:jc w:val="center"/>
            </w:pPr>
            <w:r>
              <w:rPr>
                <w:rFonts w:ascii="Calibri" w:cs="Calibri" w:eastAsia="Calibri" w:hAnsi="Calibri"/>
                <w:b/>
                <w:bCs/>
                <w:color w:val="FFFFFF"/>
                <w:sz w:val="18"/>
                <w:szCs w:val="18"/>
              </w:rPr>
              <w:t xml:space="preserve">STATUS</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Operating Margin</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9.7%</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12–16%</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-2.3 to -6.3pp</w:t>
            </w:r>
          </w:p>
        </w:tc>
        <w:tc>
          <w:tcPr>
            <w:tcW w:type="dxa" w:w="1440"/>
            <w:tcBorders>
              <w:top w:val="none"/>
              <w:left w:val="none"/>
              <w:bottom w:val="single" w:color="E0E0E0" w:sz="2"/>
              <w:right w:val="none"/>
            </w:tcBorders>
            <w:shd w:fill="FEF2F2" w:color="auto" w:val="clear"/>
            <w:tcMar>
              <w:top w:type="dxa" w:w="80"/>
              <w:left w:type="dxa" w:w="80"/>
              <w:bottom w:type="dxa" w:w="80"/>
              <w:right w:type="dxa" w:w="80"/>
            </w:tcMar>
          </w:tcPr>
          <w:p>
            <w:pPr>
              <w:spacing w:after="60" w:before="60"/>
              <w:jc w:val="center"/>
            </w:pPr>
            <w:r>
              <w:rPr>
                <w:rFonts w:ascii="Calibri" w:cs="Calibri" w:eastAsia="Calibri" w:hAnsi="Calibri"/>
                <w:b/>
                <w:bCs/>
                <w:color w:val="B91C1C"/>
                <w:sz w:val="18"/>
                <w:szCs w:val="18"/>
              </w:rPr>
              <w:t xml:space="preserve">▼ BELOW</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Expense Ratio</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90.0%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82–86%</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+4 to +8pp</w:t>
            </w:r>
          </w:p>
        </w:tc>
        <w:tc>
          <w:tcPr>
            <w:tcW w:type="dxa" w:w="1440"/>
            <w:tcBorders>
              <w:top w:val="none"/>
              <w:left w:val="none"/>
              <w:bottom w:val="single" w:color="E0E0E0" w:sz="2"/>
              <w:right w:val="none"/>
            </w:tcBorders>
            <w:shd w:fill="FEF2F2" w:color="auto" w:val="clear"/>
            <w:tcMar>
              <w:top w:type="dxa" w:w="80"/>
              <w:left w:type="dxa" w:w="80"/>
              <w:bottom w:type="dxa" w:w="80"/>
              <w:right w:type="dxa" w:w="80"/>
            </w:tcMar>
          </w:tcPr>
          <w:p>
            <w:pPr>
              <w:spacing w:after="60" w:before="60"/>
              <w:jc w:val="center"/>
            </w:pPr>
            <w:r>
              <w:rPr>
                <w:rFonts w:ascii="Calibri" w:cs="Calibri" w:eastAsia="Calibri" w:hAnsi="Calibri"/>
                <w:b/>
                <w:bCs/>
                <w:color w:val="B91C1C"/>
                <w:sz w:val="18"/>
                <w:szCs w:val="18"/>
              </w:rPr>
              <w:t xml:space="preserve">▼ BELOW</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Cash Cover (days)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18 days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30–45 days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-12 to -27 days</w:t>
            </w:r>
          </w:p>
        </w:tc>
        <w:tc>
          <w:tcPr>
            <w:tcW w:type="dxa" w:w="1440"/>
            <w:tcBorders>
              <w:top w:val="none"/>
              <w:left w:val="none"/>
              <w:bottom w:val="single" w:color="E0E0E0" w:sz="2"/>
              <w:right w:val="none"/>
            </w:tcBorders>
            <w:shd w:fill="FEF2F2" w:color="auto" w:val="clear"/>
            <w:tcMar>
              <w:top w:type="dxa" w:w="80"/>
              <w:left w:type="dxa" w:w="80"/>
              <w:bottom w:type="dxa" w:w="80"/>
              <w:right w:type="dxa" w:w="80"/>
            </w:tcMar>
          </w:tcPr>
          <w:p>
            <w:pPr>
              <w:spacing w:after="60" w:before="60"/>
              <w:jc w:val="center"/>
            </w:pPr>
            <w:r>
              <w:rPr>
                <w:rFonts w:ascii="Calibri" w:cs="Calibri" w:eastAsia="Calibri" w:hAnsi="Calibri"/>
                <w:b/>
                <w:bCs/>
                <w:color w:val="B91C1C"/>
                <w:sz w:val="18"/>
                <w:szCs w:val="18"/>
              </w:rPr>
              <w:t xml:space="preserve">▼ BELOW</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Revenue per Head</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2D6A4F"/>
                <w:sz w:val="20"/>
                <w:szCs w:val="20"/>
              </w:rPr>
              <w:t xml:space="preserve">€131,915</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€100–150K</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Within range</w:t>
            </w:r>
          </w:p>
        </w:tc>
        <w:tc>
          <w:tcPr>
            <w:tcW w:type="dxa" w:w="1440"/>
            <w:tcBorders>
              <w:top w:val="none"/>
              <w:left w:val="none"/>
              <w:bottom w:val="single" w:color="E0E0E0" w:sz="2"/>
              <w:right w:val="none"/>
            </w:tcBorders>
            <w:shd w:fill="F0FDF4" w:color="auto" w:val="clear"/>
            <w:tcMar>
              <w:top w:type="dxa" w:w="80"/>
              <w:left w:type="dxa" w:w="80"/>
              <w:bottom w:type="dxa" w:w="80"/>
              <w:right w:type="dxa" w:w="80"/>
            </w:tcMar>
          </w:tcPr>
          <w:p>
            <w:pPr>
              <w:spacing w:after="60" w:before="60"/>
              <w:jc w:val="center"/>
            </w:pPr>
            <w:r>
              <w:rPr>
                <w:rFonts w:ascii="Calibri" w:cs="Calibri" w:eastAsia="Calibri" w:hAnsi="Calibri"/>
                <w:b/>
                <w:bCs/>
                <w:color w:val="2D6A4F"/>
                <w:sz w:val="18"/>
                <w:szCs w:val="18"/>
              </w:rPr>
              <w:t xml:space="preserve">▲ HEALTHY</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Payroll % of Revenue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45309"/>
                <w:sz w:val="20"/>
                <w:szCs w:val="20"/>
              </w:rPr>
              <w:t xml:space="preserve">62%</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55–65%</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At upper bound</w:t>
            </w:r>
          </w:p>
        </w:tc>
        <w:tc>
          <w:tcPr>
            <w:tcW w:type="dxa" w:w="1440"/>
            <w:tcBorders>
              <w:top w:val="none"/>
              <w:left w:val="none"/>
              <w:bottom w:val="single" w:color="E0E0E0" w:sz="2"/>
              <w:right w:val="none"/>
            </w:tcBorders>
            <w:shd w:fill="FFFBEB" w:color="auto" w:val="clear"/>
            <w:tcMar>
              <w:top w:type="dxa" w:w="80"/>
              <w:left w:type="dxa" w:w="80"/>
              <w:bottom w:type="dxa" w:w="80"/>
              <w:right w:type="dxa" w:w="80"/>
            </w:tcMar>
          </w:tcPr>
          <w:p>
            <w:pPr>
              <w:spacing w:after="60" w:before="60"/>
              <w:jc w:val="center"/>
            </w:pPr>
            <w:r>
              <w:rPr>
                <w:rFonts w:ascii="Calibri" w:cs="Calibri" w:eastAsia="Calibri" w:hAnsi="Calibri"/>
                <w:b/>
                <w:bCs/>
                <w:color w:val="B45309"/>
                <w:sz w:val="18"/>
                <w:szCs w:val="18"/>
              </w:rPr>
              <w:t xml:space="preserve">► WATCH</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Client Concentration (top 2)</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58%</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&lt;40%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+18pp</w:t>
            </w:r>
          </w:p>
        </w:tc>
        <w:tc>
          <w:tcPr>
            <w:tcW w:type="dxa" w:w="1440"/>
            <w:tcBorders>
              <w:top w:val="none"/>
              <w:left w:val="none"/>
              <w:bottom w:val="single" w:color="E0E0E0" w:sz="2"/>
              <w:right w:val="none"/>
            </w:tcBorders>
            <w:shd w:fill="FEF2F2" w:color="auto" w:val="clear"/>
            <w:tcMar>
              <w:top w:type="dxa" w:w="80"/>
              <w:left w:type="dxa" w:w="80"/>
              <w:bottom w:type="dxa" w:w="80"/>
              <w:right w:type="dxa" w:w="80"/>
            </w:tcMar>
          </w:tcPr>
          <w:p>
            <w:pPr>
              <w:spacing w:after="60" w:before="60"/>
              <w:jc w:val="center"/>
            </w:pPr>
            <w:r>
              <w:rPr>
                <w:rFonts w:ascii="Calibri" w:cs="Calibri" w:eastAsia="Calibri" w:hAnsi="Calibri"/>
                <w:b/>
                <w:bCs/>
                <w:color w:val="B91C1C"/>
                <w:sz w:val="18"/>
                <w:szCs w:val="18"/>
              </w:rPr>
              <w:t xml:space="preserve">▼ BELOW</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Gross Margin</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45309"/>
                <w:sz w:val="20"/>
                <w:szCs w:val="20"/>
              </w:rPr>
              <w:t xml:space="preserve">38%</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40–50%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-2 to -12pp</w:t>
            </w:r>
          </w:p>
        </w:tc>
        <w:tc>
          <w:tcPr>
            <w:tcW w:type="dxa" w:w="1440"/>
            <w:tcBorders>
              <w:top w:val="none"/>
              <w:left w:val="none"/>
              <w:bottom w:val="single" w:color="E0E0E0" w:sz="2"/>
              <w:right w:val="none"/>
            </w:tcBorders>
            <w:shd w:fill="FFFBEB" w:color="auto" w:val="clear"/>
            <w:tcMar>
              <w:top w:type="dxa" w:w="80"/>
              <w:left w:type="dxa" w:w="80"/>
              <w:bottom w:type="dxa" w:w="80"/>
              <w:right w:type="dxa" w:w="80"/>
            </w:tcMar>
          </w:tcPr>
          <w:p>
            <w:pPr>
              <w:spacing w:after="60" w:before="60"/>
              <w:jc w:val="center"/>
            </w:pPr>
            <w:r>
              <w:rPr>
                <w:rFonts w:ascii="Calibri" w:cs="Calibri" w:eastAsia="Calibri" w:hAnsi="Calibri"/>
                <w:b/>
                <w:bCs/>
                <w:color w:val="B45309"/>
                <w:sz w:val="18"/>
                <w:szCs w:val="18"/>
              </w:rPr>
              <w:t xml:space="preserve">► WATCH</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Debtor Days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52 days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30–45 days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center"/>
            </w:pPr>
            <w:r>
              <w:rPr>
                <w:rFonts w:ascii="Calibri" w:cs="Calibri" w:eastAsia="Calibri" w:hAnsi="Calibri"/>
                <w:b/>
                <w:bCs/>
                <w:color w:val="1A1A1A"/>
                <w:sz w:val="20"/>
                <w:szCs w:val="20"/>
              </w:rPr>
              <w:t xml:space="preserve">+7 to +22 days</w:t>
            </w:r>
          </w:p>
        </w:tc>
        <w:tc>
          <w:tcPr>
            <w:tcW w:type="dxa" w:w="1440"/>
            <w:tcBorders>
              <w:top w:val="none"/>
              <w:left w:val="none"/>
              <w:bottom w:val="single" w:color="E0E0E0" w:sz="2"/>
              <w:right w:val="none"/>
            </w:tcBorders>
            <w:shd w:fill="FEF2F2" w:color="auto" w:val="clear"/>
            <w:tcMar>
              <w:top w:type="dxa" w:w="80"/>
              <w:left w:type="dxa" w:w="80"/>
              <w:bottom w:type="dxa" w:w="80"/>
              <w:right w:type="dxa" w:w="80"/>
            </w:tcMar>
          </w:tcPr>
          <w:p>
            <w:pPr>
              <w:spacing w:after="60" w:before="60"/>
              <w:jc w:val="center"/>
            </w:pPr>
            <w:r>
              <w:rPr>
                <w:rFonts w:ascii="Calibri" w:cs="Calibri" w:eastAsia="Calibri" w:hAnsi="Calibri"/>
                <w:b/>
                <w:bCs/>
                <w:color w:val="B91C1C"/>
                <w:sz w:val="18"/>
                <w:szCs w:val="18"/>
              </w:rPr>
              <w:t xml:space="preserve">▼ BELOW</w:t>
            </w:r>
          </w:p>
        </w:tc>
      </w:tr>
    </w:tbl>
    <w:p>
      <w:pPr>
        <w:spacing w:after="400" w:before="0"/>
      </w:pPr>
    </w:p>
    <w:p>
      <w:pPr>
        <w:spacing w:after="100" w:before="500"/>
      </w:pPr>
      <w:r>
        <w:rPr>
          <w:rFonts w:ascii="Calibri" w:cs="Calibri" w:eastAsia="Calibri" w:hAnsi="Calibri"/>
          <w:b/>
          <w:bCs/>
          <w:color w:val="C9A84C"/>
          <w:sz w:val="20"/>
          <w:szCs w:val="20"/>
        </w:rPr>
        <w:t xml:space="preserve">CLIENT PROFITABILITY ANALYSIS</w:t>
      </w:r>
    </w:p>
    <w:p>
      <w:pPr>
        <w:pBdr>
          <w:bottom w:val="single" w:color="C9A84C" w:sz="12"/>
        </w:pBdr>
        <w:spacing w:after="240" w:before="0"/>
      </w:pPr>
    </w:p>
    <w:p>
      <w:pPr>
        <w:spacing w:after="80" w:before="80"/>
        <w:jc w:val="left"/>
      </w:pPr>
      <w:r>
        <w:rPr>
          <w:rFonts w:ascii="Calibri" w:cs="Calibri" w:eastAsia="Calibri" w:hAnsi="Calibri"/>
          <w:b w:val="false"/>
          <w:bCs w:val="false"/>
          <w:i w:val="false"/>
          <w:iCs w:val="false"/>
          <w:color w:val="1A1A1A"/>
          <w:sz w:val="21"/>
          <w:szCs w:val="21"/>
        </w:rPr>
        <w:t xml:space="preserve">This is the single most important table in this report. The revenue column is what you bill. The net margin column is what you keep after your people's time is costed at market rate. These two numbers tell different stories.</w:t>
      </w:r>
    </w:p>
    <w:p>
      <w:pPr>
        <w:spacing w:after="16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gridCol w:w="100"/>
        <w:gridCol w:w="100"/>
        <w:gridCol w:w="100"/>
      </w:tblGrid>
      <w:tr>
        <w:tc>
          <w:tcPr>
            <w:tcW w:type="dxa" w:w="240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CLIENT</w:t>
            </w:r>
          </w:p>
        </w:tc>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BILLED REVENUE</w:t>
            </w:r>
          </w:p>
        </w:tc>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REVENUE %</w:t>
            </w:r>
          </w:p>
        </w:tc>
        <w:tc>
          <w:tcPr>
            <w:tcW w:type="dxa" w:w="180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BILLED MARGIN</w:t>
            </w:r>
          </w:p>
        </w:tc>
        <w:tc>
          <w:tcPr>
            <w:tcW w:type="dxa" w:w="156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NET MARGIN (incl. hours)</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GlobalBrand FMCG A</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€1,860,000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30.0% ⚠</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14%</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2.1%</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GlobalBrand FMCG B</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€744,000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12.0% ⚠</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18%</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B91C1C"/>
                <w:sz w:val="20"/>
                <w:szCs w:val="20"/>
              </w:rPr>
              <w:t xml:space="preserve">3.8%</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E-Com Client A</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€620,000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1A1A1A"/>
                <w:sz w:val="20"/>
                <w:szCs w:val="20"/>
              </w:rPr>
              <w:t xml:space="preserve">10.0%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31%</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2D6A4F"/>
                <w:sz w:val="20"/>
                <w:szCs w:val="20"/>
              </w:rPr>
              <w:t xml:space="preserve">18.4%</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E-Com Client B</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€558,000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1A1A1A"/>
                <w:sz w:val="20"/>
                <w:szCs w:val="20"/>
              </w:rPr>
              <w:t xml:space="preserve">9.0%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28%</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2D6A4F"/>
                <w:sz w:val="20"/>
                <w:szCs w:val="20"/>
              </w:rPr>
              <w:t xml:space="preserve">16.2%</w:t>
            </w:r>
          </w:p>
        </w:tc>
      </w:tr>
      <w:tr>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E-Com Client C</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€496,000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1A1A1A"/>
                <w:sz w:val="20"/>
                <w:szCs w:val="20"/>
              </w:rPr>
              <w:t xml:space="preserve">8.0%</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33%</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2D6A4F"/>
                <w:sz w:val="20"/>
                <w:szCs w:val="20"/>
              </w:rPr>
              <w:t xml:space="preserve">21.0%</w:t>
            </w:r>
          </w:p>
        </w:tc>
      </w:tr>
      <w:tr>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Smaller clients (6)</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€1,922,000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1A1A1A"/>
                <w:sz w:val="20"/>
                <w:szCs w:val="20"/>
              </w:rPr>
              <w:t xml:space="preserve">31.0%</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26%</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2D6A4F"/>
                <w:sz w:val="20"/>
                <w:szCs w:val="20"/>
              </w:rPr>
              <w:t xml:space="preserve">14.7%</w:t>
            </w:r>
          </w:p>
        </w:tc>
      </w:tr>
    </w:tbl>
    <w:p>
      <w:pPr>
        <w:spacing w:after="160" w:before="0"/>
      </w:pPr>
    </w:p>
    <w:tbl>
      <w:tblPr>
        <w:tblW w:type="dxa" w:w="8640"/>
        <w:tblBorders>
          <w:top w:val="none"/>
          <w:left w:val="none"/>
          <w:bottom w:val="none"/>
          <w:right w:val="none"/>
          <w:insideH w:val="single" w:color="auto" w:sz="4"/>
          <w:insideV w:val="single" w:color="auto" w:sz="4"/>
        </w:tblBorders>
        <w:tblLayout w:type="fixed"/>
      </w:tblPr>
      <w:tblGrid>
        <w:gridCol w:w="100"/>
      </w:tblGrid>
      <w:tr>
        <w:tc>
          <w:tcPr>
            <w:tcW w:type="dxa" w:w="8640"/>
            <w:tcBorders>
              <w:top w:val="none"/>
              <w:left w:val="single" w:color="B45309" w:sz="16"/>
              <w:bottom w:val="none"/>
              <w:right w:val="none"/>
            </w:tcBorders>
            <w:shd w:fill="FFFBEB" w:color="auto" w:val="clear"/>
            <w:tcMar>
              <w:top w:type="dxa" w:w="160"/>
              <w:left w:type="dxa" w:w="200"/>
              <w:bottom w:type="dxa" w:w="160"/>
              <w:right w:type="dxa" w:w="200"/>
            </w:tcMar>
          </w:tcPr>
          <w:p>
            <w:pPr>
              <w:spacing w:after="80" w:before="0"/>
            </w:pPr>
            <w:r>
              <w:rPr>
                <w:rFonts w:ascii="Calibri" w:cs="Calibri" w:eastAsia="Calibri" w:hAnsi="Calibri"/>
                <w:b/>
                <w:bCs/>
                <w:color w:val="08111F"/>
                <w:sz w:val="18"/>
                <w:szCs w:val="18"/>
              </w:rPr>
              <w:t xml:space="preserve">WHAT THIS TABLE MEANS</w:t>
            </w:r>
          </w:p>
          <w:p>
            <w:pPr>
              <w:spacing w:after="100" w:before="0"/>
            </w:pPr>
            <w:r>
              <w:rPr>
                <w:rFonts w:ascii="Calibri" w:cs="Calibri" w:eastAsia="Calibri" w:hAnsi="Calibri"/>
                <w:color w:val="1A1A1A"/>
                <w:sz w:val="20"/>
                <w:szCs w:val="20"/>
              </w:rPr>
              <w:t xml:space="preserve">GlobalBrand FMCG A generates €1.86M in billed revenue — your largest client by far. On the surface it looks like your most important relationship. Net of internal hours at market rate, it runs at 2.1% margin. That is €39,060 of actual profit on €1.86M of work. Your team is working harder for that client than any other, and you are keeping less per hour than on any other.</w:t>
            </w:r>
          </w:p>
          <w:p>
            <w:pPr>
              <w:spacing w:after="100" w:before="0"/>
            </w:pPr>
            <w:r>
              <w:rPr>
                <w:rFonts w:ascii="Calibri" w:cs="Calibri" w:eastAsia="Calibri" w:hAnsi="Calibri"/>
                <w:color w:val="1A1A1A"/>
                <w:sz w:val="20"/>
                <w:szCs w:val="20"/>
              </w:rPr>
              <w:t xml:space="preserve">The three e-commerce clients — which collectively generate less revenue than FMCG A — run at 16–21% net margin. They are less demanding, better scoped, and more profitable by a factor of eight.</w:t>
            </w:r>
          </w:p>
          <w:p>
            <w:pPr>
              <w:spacing w:after="0" w:before="0"/>
            </w:pPr>
            <w:r>
              <w:rPr>
                <w:rFonts w:ascii="Calibri" w:cs="Calibri" w:eastAsia="Calibri" w:hAnsi="Calibri"/>
                <w:b/>
                <w:bCs/>
                <w:color w:val="1A1A1A"/>
                <w:sz w:val="20"/>
                <w:szCs w:val="20"/>
              </w:rPr>
              <w:t xml:space="preserve">This is the conversation most agencies never have with themselves. The fear of losing the largest retainer prevents the analysis that would show how much it actually costs to keep it.</w:t>
            </w:r>
          </w:p>
        </w:tc>
      </w:tr>
    </w:tbl>
    <w:p>
      <w:pPr>
        <w:spacing w:after="400" w:before="0"/>
      </w:pPr>
    </w:p>
    <w:p>
      <w:pPr>
        <w:spacing w:after="100" w:before="500"/>
      </w:pPr>
      <w:r>
        <w:rPr>
          <w:rFonts w:ascii="Calibri" w:cs="Calibri" w:eastAsia="Calibri" w:hAnsi="Calibri"/>
          <w:b/>
          <w:bCs/>
          <w:color w:val="C9A84C"/>
          <w:sz w:val="20"/>
          <w:szCs w:val="20"/>
        </w:rPr>
        <w:t xml:space="preserve">KEY FINDINGS</w:t>
      </w:r>
    </w:p>
    <w:p>
      <w:pPr>
        <w:pBdr>
          <w:bottom w:val="single" w:color="C9A84C" w:sz="12"/>
        </w:pBdr>
        <w:spacing w:after="24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tblGrid>
      <w:tr>
        <w:tc>
          <w:tcPr>
            <w:tcW w:type="dxa" w:w="7200"/>
            <w:tcBorders>
              <w:top w:val="none"/>
              <w:left w:val="none"/>
              <w:bottom w:val="none"/>
              <w:right w:val="none"/>
            </w:tcBorders>
            <w:shd w:fill="08111F" w:color="auto" w:val="clear"/>
            <w:tcMar>
              <w:top w:type="dxa" w:w="100"/>
              <w:left w:type="dxa" w:w="180"/>
              <w:bottom w:type="dxa" w:w="100"/>
              <w:right w:type="dxa" w:w="180"/>
            </w:tcMar>
          </w:tcPr>
          <w:p>
            <w:pPr>
              <w:spacing w:after="20" w:before="60"/>
            </w:pPr>
            <w:r>
              <w:rPr>
                <w:rFonts w:ascii="Calibri" w:cs="Calibri" w:eastAsia="Calibri" w:hAnsi="Calibri"/>
                <w:color w:val="FFFFFF"/>
                <w:sz w:val="17"/>
                <w:szCs w:val="17"/>
              </w:rPr>
              <w:t xml:space="preserve">Finding 01</w:t>
            </w:r>
          </w:p>
          <w:p>
            <w:pPr>
              <w:spacing w:after="60" w:before="0"/>
            </w:pPr>
            <w:r>
              <w:rPr>
                <w:rFonts w:ascii="Calibri" w:cs="Calibri" w:eastAsia="Calibri" w:hAnsi="Calibri"/>
                <w:b/>
                <w:bCs/>
                <w:color w:val="FFFFFF"/>
                <w:sz w:val="23"/>
                <w:szCs w:val="23"/>
              </w:rPr>
              <w:t xml:space="preserve">Scope Creep is Unquantified and Unpriced</w:t>
            </w:r>
          </w:p>
        </w:tc>
        <w:tc>
          <w:tcPr>
            <w:tcW w:type="dxa" w:w="1440"/>
            <w:tcBorders>
              <w:top w:val="none"/>
              <w:left w:val="single" w:color="C9A84C" w:sz="4"/>
              <w:bottom w:val="none"/>
              <w:right w:val="none"/>
            </w:tcBorders>
            <w:shd w:fill="FEF2F2" w:color="auto" w:val="clear"/>
            <w:tcMar>
              <w:top w:type="dxa" w:w="100"/>
              <w:left w:type="dxa" w:w="80"/>
              <w:bottom w:type="dxa" w:w="100"/>
              <w:right w:type="dxa" w:w="80"/>
            </w:tcMar>
            <w:vAlign w:val="center"/>
          </w:tcPr>
          <w:p>
            <w:pPr>
              <w:spacing w:after="20" w:before="40"/>
              <w:jc w:val="center"/>
            </w:pPr>
            <w:r>
              <w:rPr>
                <w:rFonts w:ascii="Calibri" w:cs="Calibri" w:eastAsia="Calibri" w:hAnsi="Calibri"/>
                <w:b/>
                <w:bCs/>
                <w:color w:val="FFFFFF"/>
                <w:sz w:val="16"/>
                <w:szCs w:val="16"/>
              </w:rPr>
              <w:t xml:space="preserve">SEVERITY</w:t>
            </w:r>
          </w:p>
          <w:p>
            <w:pPr>
              <w:spacing w:after="40" w:before="0"/>
              <w:jc w:val="center"/>
            </w:pPr>
            <w:r>
              <w:rPr>
                <w:rFonts w:ascii="Calibri" w:cs="Calibri" w:eastAsia="Calibri" w:hAnsi="Calibri"/>
                <w:b/>
                <w:bCs/>
                <w:color w:val="B91C1C"/>
                <w:sz w:val="22"/>
                <w:szCs w:val="22"/>
              </w:rPr>
              <w:t xml:space="preserve">HIGH</w:t>
            </w:r>
          </w:p>
        </w:tc>
      </w:tr>
      <w:tr>
        <w:tc>
          <w:tcPr>
            <w:tcW w:type="dxa" w:w="7200"/>
            <w:gridSpan w:val="1"/>
            <w:tcBorders>
              <w:top w:val="single" w:color="E0E0E0" w:sz="2"/>
              <w:left w:val="none"/>
              <w:bottom w:val="none"/>
              <w:right w:val="none"/>
            </w:tcBorders>
            <w:shd w:fill="FFFFFF" w:color="auto" w:val="clear"/>
            <w:tcMar>
              <w:top w:type="dxa" w:w="120"/>
              <w:left w:type="dxa" w:w="180"/>
              <w:bottom w:type="dxa" w:w="120"/>
              <w:right w:type="dxa" w:w="180"/>
            </w:tcMar>
          </w:tcPr>
          <w:p>
            <w:pPr>
              <w:spacing w:after="60" w:before="80"/>
            </w:pPr>
            <w:r>
              <w:rPr>
                <w:rFonts w:ascii="Calibri" w:cs="Calibri" w:eastAsia="Calibri" w:hAnsi="Calibri"/>
                <w:b/>
                <w:bCs/>
                <w:color w:val="08111F"/>
                <w:sz w:val="17"/>
                <w:szCs w:val="17"/>
              </w:rPr>
              <w:t xml:space="preserve">WHAT WE FOUND</w:t>
            </w:r>
          </w:p>
          <w:p>
            <w:pPr>
              <w:spacing w:after="100" w:before="0"/>
            </w:pPr>
            <w:r>
              <w:rPr>
                <w:rFonts w:ascii="Calibri" w:cs="Calibri" w:eastAsia="Calibri" w:hAnsi="Calibri"/>
                <w:color w:val="1A1A1A"/>
                <w:sz w:val="20"/>
                <w:szCs w:val="20"/>
              </w:rPr>
              <w:t xml:space="preserve">Meridian has no formal mechanism for identifying, escalating, or billing scope additions. In the 90-minute briefing, the Managing Partner referenced three client engagements in the past 12 months where "we ended up doing significantly more than what was in the brief." None of these were raised as change orders. All were absorbed. Based on the hours pattern visible in the management accounts, the estimated annual cost of unpriced scope is €85,000–€140,000.</w:t>
            </w:r>
          </w:p>
          <w:p>
            <w:pPr>
              <w:spacing w:after="60" w:before="0"/>
            </w:pPr>
            <w:r>
              <w:rPr>
                <w:rFonts w:ascii="Calibri" w:cs="Calibri" w:eastAsia="Calibri" w:hAnsi="Calibri"/>
                <w:b/>
                <w:bCs/>
                <w:color w:val="08111F"/>
                <w:sz w:val="17"/>
                <w:szCs w:val="17"/>
              </w:rPr>
              <w:t xml:space="preserve">WHY IT MATTERS</w:t>
            </w:r>
          </w:p>
          <w:p>
            <w:pPr>
              <w:spacing w:after="80" w:before="0"/>
            </w:pPr>
            <w:r>
              <w:rPr>
                <w:rFonts w:ascii="Calibri" w:cs="Calibri" w:eastAsia="Calibri" w:hAnsi="Calibri"/>
                <w:i/>
                <w:iCs/>
                <w:color w:val="1A1A1A"/>
                <w:sz w:val="20"/>
                <w:szCs w:val="20"/>
              </w:rPr>
              <w:t xml:space="preserve">This is not a client relationship management problem. It is a revenue leak with a specific number attached. At the lower estimate, plugging it improves operating margin from 9.7% to approximately 11.1% — most of the gap to benchmark — without a single new client, price increase, or cost cut.</w:t>
            </w:r>
          </w:p>
        </w:tc>
        <w:tc>
          <w:tcPr>
            <w:tcW w:type="dxa" w:w="1440"/>
            <w:tcBorders>
              <w:top w:val="single" w:color="E0E0E0" w:sz="2"/>
              <w:left w:val="single" w:color="C9A84C" w:sz="4"/>
              <w:bottom w:val="none"/>
              <w:right w:val="none"/>
            </w:tcBorders>
            <w:shd w:fill="FEF2F2" w:color="auto" w:val="clear"/>
          </w:tcPr>
          <w:p>
            <w:r>
              <w:t xml:space="preserve"/>
            </w:r>
          </w:p>
        </w:tc>
      </w:tr>
    </w:tbl>
    <w:p>
      <w:pPr>
        <w:spacing w:after="28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tblGrid>
      <w:tr>
        <w:tc>
          <w:tcPr>
            <w:tcW w:type="dxa" w:w="7200"/>
            <w:tcBorders>
              <w:top w:val="none"/>
              <w:left w:val="none"/>
              <w:bottom w:val="none"/>
              <w:right w:val="none"/>
            </w:tcBorders>
            <w:shd w:fill="08111F" w:color="auto" w:val="clear"/>
            <w:tcMar>
              <w:top w:type="dxa" w:w="100"/>
              <w:left w:type="dxa" w:w="180"/>
              <w:bottom w:type="dxa" w:w="100"/>
              <w:right w:type="dxa" w:w="180"/>
            </w:tcMar>
          </w:tcPr>
          <w:p>
            <w:pPr>
              <w:spacing w:after="20" w:before="60"/>
            </w:pPr>
            <w:r>
              <w:rPr>
                <w:rFonts w:ascii="Calibri" w:cs="Calibri" w:eastAsia="Calibri" w:hAnsi="Calibri"/>
                <w:color w:val="FFFFFF"/>
                <w:sz w:val="17"/>
                <w:szCs w:val="17"/>
              </w:rPr>
              <w:t xml:space="preserve">Finding 02</w:t>
            </w:r>
          </w:p>
          <w:p>
            <w:pPr>
              <w:spacing w:after="60" w:before="0"/>
            </w:pPr>
            <w:r>
              <w:rPr>
                <w:rFonts w:ascii="Calibri" w:cs="Calibri" w:eastAsia="Calibri" w:hAnsi="Calibri"/>
                <w:b/>
                <w:bCs/>
                <w:color w:val="FFFFFF"/>
                <w:sz w:val="23"/>
                <w:szCs w:val="23"/>
              </w:rPr>
              <w:t xml:space="preserve">FMCG Client Contracts Have Not Been Renegotiated Since 2021</w:t>
            </w:r>
          </w:p>
        </w:tc>
        <w:tc>
          <w:tcPr>
            <w:tcW w:type="dxa" w:w="1440"/>
            <w:tcBorders>
              <w:top w:val="none"/>
              <w:left w:val="single" w:color="C9A84C" w:sz="4"/>
              <w:bottom w:val="none"/>
              <w:right w:val="none"/>
            </w:tcBorders>
            <w:shd w:fill="FEF2F2" w:color="auto" w:val="clear"/>
            <w:tcMar>
              <w:top w:type="dxa" w:w="100"/>
              <w:left w:type="dxa" w:w="80"/>
              <w:bottom w:type="dxa" w:w="100"/>
              <w:right w:type="dxa" w:w="80"/>
            </w:tcMar>
            <w:vAlign w:val="center"/>
          </w:tcPr>
          <w:p>
            <w:pPr>
              <w:spacing w:after="20" w:before="40"/>
              <w:jc w:val="center"/>
            </w:pPr>
            <w:r>
              <w:rPr>
                <w:rFonts w:ascii="Calibri" w:cs="Calibri" w:eastAsia="Calibri" w:hAnsi="Calibri"/>
                <w:b/>
                <w:bCs/>
                <w:color w:val="FFFFFF"/>
                <w:sz w:val="16"/>
                <w:szCs w:val="16"/>
              </w:rPr>
              <w:t xml:space="preserve">SEVERITY</w:t>
            </w:r>
          </w:p>
          <w:p>
            <w:pPr>
              <w:spacing w:after="40" w:before="0"/>
              <w:jc w:val="center"/>
            </w:pPr>
            <w:r>
              <w:rPr>
                <w:rFonts w:ascii="Calibri" w:cs="Calibri" w:eastAsia="Calibri" w:hAnsi="Calibri"/>
                <w:b/>
                <w:bCs/>
                <w:color w:val="B91C1C"/>
                <w:sz w:val="22"/>
                <w:szCs w:val="22"/>
              </w:rPr>
              <w:t xml:space="preserve">HIGH</w:t>
            </w:r>
          </w:p>
        </w:tc>
      </w:tr>
      <w:tr>
        <w:tc>
          <w:tcPr>
            <w:tcW w:type="dxa" w:w="7200"/>
            <w:gridSpan w:val="1"/>
            <w:tcBorders>
              <w:top w:val="single" w:color="E0E0E0" w:sz="2"/>
              <w:left w:val="none"/>
              <w:bottom w:val="none"/>
              <w:right w:val="none"/>
            </w:tcBorders>
            <w:shd w:fill="FFFFFF" w:color="auto" w:val="clear"/>
            <w:tcMar>
              <w:top w:type="dxa" w:w="120"/>
              <w:left w:type="dxa" w:w="180"/>
              <w:bottom w:type="dxa" w:w="120"/>
              <w:right w:type="dxa" w:w="180"/>
            </w:tcMar>
          </w:tcPr>
          <w:p>
            <w:pPr>
              <w:spacing w:after="60" w:before="80"/>
            </w:pPr>
            <w:r>
              <w:rPr>
                <w:rFonts w:ascii="Calibri" w:cs="Calibri" w:eastAsia="Calibri" w:hAnsi="Calibri"/>
                <w:b/>
                <w:bCs/>
                <w:color w:val="08111F"/>
                <w:sz w:val="17"/>
                <w:szCs w:val="17"/>
              </w:rPr>
              <w:t xml:space="preserve">WHAT WE FOUND</w:t>
            </w:r>
          </w:p>
          <w:p>
            <w:pPr>
              <w:spacing w:after="100" w:before="0"/>
            </w:pPr>
            <w:r>
              <w:rPr>
                <w:rFonts w:ascii="Calibri" w:cs="Calibri" w:eastAsia="Calibri" w:hAnsi="Calibri"/>
                <w:color w:val="1A1A1A"/>
                <w:sz w:val="20"/>
                <w:szCs w:val="20"/>
              </w:rPr>
              <w:t xml:space="preserve">Both FMCG retainer agreements date from 2021. In the intervening period, the agency has absorbed two rounds of salary inflation (estimated +18% cumulative), increased software licence costs, and expanded the scope of services delivered. Neither contract has been renegotiated. The fee levels reflect a cost structure that no longer exists.</w:t>
            </w:r>
          </w:p>
          <w:p>
            <w:pPr>
              <w:spacing w:after="60" w:before="0"/>
            </w:pPr>
            <w:r>
              <w:rPr>
                <w:rFonts w:ascii="Calibri" w:cs="Calibri" w:eastAsia="Calibri" w:hAnsi="Calibri"/>
                <w:b/>
                <w:bCs/>
                <w:color w:val="08111F"/>
                <w:sz w:val="17"/>
                <w:szCs w:val="17"/>
              </w:rPr>
              <w:t xml:space="preserve">WHY IT MATTERS</w:t>
            </w:r>
          </w:p>
          <w:p>
            <w:pPr>
              <w:spacing w:after="80" w:before="0"/>
            </w:pPr>
            <w:r>
              <w:rPr>
                <w:rFonts w:ascii="Calibri" w:cs="Calibri" w:eastAsia="Calibri" w:hAnsi="Calibri"/>
                <w:i/>
                <w:iCs/>
                <w:color w:val="1A1A1A"/>
                <w:sz w:val="20"/>
                <w:szCs w:val="20"/>
              </w:rPr>
              <w:t xml:space="preserve">The agency is pricing 2021 services at 2021 rates with 2024 costs. The gap is structural, not cyclical. It will not self-correct. A conversation about contract renewal is not optional — it is the most valuable conversation this business can have in Q3.</w:t>
            </w:r>
          </w:p>
        </w:tc>
        <w:tc>
          <w:tcPr>
            <w:tcW w:type="dxa" w:w="1440"/>
            <w:tcBorders>
              <w:top w:val="single" w:color="E0E0E0" w:sz="2"/>
              <w:left w:val="single" w:color="C9A84C" w:sz="4"/>
              <w:bottom w:val="none"/>
              <w:right w:val="none"/>
            </w:tcBorders>
            <w:shd w:fill="FEF2F2" w:color="auto" w:val="clear"/>
          </w:tcPr>
          <w:p>
            <w:r>
              <w:t xml:space="preserve"/>
            </w:r>
          </w:p>
        </w:tc>
      </w:tr>
    </w:tbl>
    <w:p>
      <w:pPr>
        <w:spacing w:after="28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tblGrid>
      <w:tr>
        <w:tc>
          <w:tcPr>
            <w:tcW w:type="dxa" w:w="7200"/>
            <w:tcBorders>
              <w:top w:val="none"/>
              <w:left w:val="none"/>
              <w:bottom w:val="none"/>
              <w:right w:val="none"/>
            </w:tcBorders>
            <w:shd w:fill="08111F" w:color="auto" w:val="clear"/>
            <w:tcMar>
              <w:top w:type="dxa" w:w="100"/>
              <w:left w:type="dxa" w:w="180"/>
              <w:bottom w:type="dxa" w:w="100"/>
              <w:right w:type="dxa" w:w="180"/>
            </w:tcMar>
          </w:tcPr>
          <w:p>
            <w:pPr>
              <w:spacing w:after="20" w:before="60"/>
            </w:pPr>
            <w:r>
              <w:rPr>
                <w:rFonts w:ascii="Calibri" w:cs="Calibri" w:eastAsia="Calibri" w:hAnsi="Calibri"/>
                <w:color w:val="FFFFFF"/>
                <w:sz w:val="17"/>
                <w:szCs w:val="17"/>
              </w:rPr>
              <w:t xml:space="preserve">Finding 03</w:t>
            </w:r>
          </w:p>
          <w:p>
            <w:pPr>
              <w:spacing w:after="60" w:before="0"/>
            </w:pPr>
            <w:r>
              <w:rPr>
                <w:rFonts w:ascii="Calibri" w:cs="Calibri" w:eastAsia="Calibri" w:hAnsi="Calibri"/>
                <w:b/>
                <w:bCs/>
                <w:color w:val="FFFFFF"/>
                <w:sz w:val="23"/>
                <w:szCs w:val="23"/>
              </w:rPr>
              <w:t xml:space="preserve">Payment Terms Create a Structural Cash Deficit</w:t>
            </w:r>
          </w:p>
        </w:tc>
        <w:tc>
          <w:tcPr>
            <w:tcW w:type="dxa" w:w="1440"/>
            <w:tcBorders>
              <w:top w:val="none"/>
              <w:left w:val="single" w:color="C9A84C" w:sz="4"/>
              <w:bottom w:val="none"/>
              <w:right w:val="none"/>
            </w:tcBorders>
            <w:shd w:fill="FEF2F2" w:color="auto" w:val="clear"/>
            <w:tcMar>
              <w:top w:type="dxa" w:w="100"/>
              <w:left w:type="dxa" w:w="80"/>
              <w:bottom w:type="dxa" w:w="100"/>
              <w:right w:type="dxa" w:w="80"/>
            </w:tcMar>
            <w:vAlign w:val="center"/>
          </w:tcPr>
          <w:p>
            <w:pPr>
              <w:spacing w:after="20" w:before="40"/>
              <w:jc w:val="center"/>
            </w:pPr>
            <w:r>
              <w:rPr>
                <w:rFonts w:ascii="Calibri" w:cs="Calibri" w:eastAsia="Calibri" w:hAnsi="Calibri"/>
                <w:b/>
                <w:bCs/>
                <w:color w:val="FFFFFF"/>
                <w:sz w:val="16"/>
                <w:szCs w:val="16"/>
              </w:rPr>
              <w:t xml:space="preserve">SEVERITY</w:t>
            </w:r>
          </w:p>
          <w:p>
            <w:pPr>
              <w:spacing w:after="40" w:before="0"/>
              <w:jc w:val="center"/>
            </w:pPr>
            <w:r>
              <w:rPr>
                <w:rFonts w:ascii="Calibri" w:cs="Calibri" w:eastAsia="Calibri" w:hAnsi="Calibri"/>
                <w:b/>
                <w:bCs/>
                <w:color w:val="B91C1C"/>
                <w:sz w:val="22"/>
                <w:szCs w:val="22"/>
              </w:rPr>
              <w:t xml:space="preserve">HIGH</w:t>
            </w:r>
          </w:p>
        </w:tc>
      </w:tr>
      <w:tr>
        <w:tc>
          <w:tcPr>
            <w:tcW w:type="dxa" w:w="7200"/>
            <w:gridSpan w:val="1"/>
            <w:tcBorders>
              <w:top w:val="single" w:color="E0E0E0" w:sz="2"/>
              <w:left w:val="none"/>
              <w:bottom w:val="none"/>
              <w:right w:val="none"/>
            </w:tcBorders>
            <w:shd w:fill="FFFFFF" w:color="auto" w:val="clear"/>
            <w:tcMar>
              <w:top w:type="dxa" w:w="120"/>
              <w:left w:type="dxa" w:w="180"/>
              <w:bottom w:type="dxa" w:w="120"/>
              <w:right w:type="dxa" w:w="180"/>
            </w:tcMar>
          </w:tcPr>
          <w:p>
            <w:pPr>
              <w:spacing w:after="60" w:before="80"/>
            </w:pPr>
            <w:r>
              <w:rPr>
                <w:rFonts w:ascii="Calibri" w:cs="Calibri" w:eastAsia="Calibri" w:hAnsi="Calibri"/>
                <w:b/>
                <w:bCs/>
                <w:color w:val="08111F"/>
                <w:sz w:val="17"/>
                <w:szCs w:val="17"/>
              </w:rPr>
              <w:t xml:space="preserve">WHAT WE FOUND</w:t>
            </w:r>
          </w:p>
          <w:p>
            <w:pPr>
              <w:spacing w:after="100" w:before="0"/>
            </w:pPr>
            <w:r>
              <w:rPr>
                <w:rFonts w:ascii="Calibri" w:cs="Calibri" w:eastAsia="Calibri" w:hAnsi="Calibri"/>
                <w:color w:val="1A1A1A"/>
                <w:sz w:val="20"/>
                <w:szCs w:val="20"/>
              </w:rPr>
              <w:t xml:space="preserve">The two FMCG clients are on 90-day payment terms. These were agreed at pitch stage in 2021 and have never been revisited. At current invoice volumes, this means approximately €620,000 of earned revenue is outstanding in the debtor book at any time. With 18 days of operating cash, the business is effectively using client delays as working capital — a position that offers no margin for error.</w:t>
            </w:r>
          </w:p>
          <w:p>
            <w:pPr>
              <w:spacing w:after="60" w:before="0"/>
            </w:pPr>
            <w:r>
              <w:rPr>
                <w:rFonts w:ascii="Calibri" w:cs="Calibri" w:eastAsia="Calibri" w:hAnsi="Calibri"/>
                <w:b/>
                <w:bCs/>
                <w:color w:val="08111F"/>
                <w:sz w:val="17"/>
                <w:szCs w:val="17"/>
              </w:rPr>
              <w:t xml:space="preserve">WHY IT MATTERS</w:t>
            </w:r>
          </w:p>
          <w:p>
            <w:pPr>
              <w:spacing w:after="80" w:before="0"/>
            </w:pPr>
            <w:r>
              <w:rPr>
                <w:rFonts w:ascii="Calibri" w:cs="Calibri" w:eastAsia="Calibri" w:hAnsi="Calibri"/>
                <w:i/>
                <w:iCs/>
                <w:color w:val="1A1A1A"/>
                <w:sz w:val="20"/>
                <w:szCs w:val="20"/>
              </w:rPr>
              <w:t xml:space="preserve">If either FMCG client exercises its right to 90-day payment consistently, Meridian faces a recurring monthly shortfall. This is not a liquidity crisis today. It is the architecture of one.</w:t>
            </w:r>
          </w:p>
        </w:tc>
        <w:tc>
          <w:tcPr>
            <w:tcW w:type="dxa" w:w="1440"/>
            <w:tcBorders>
              <w:top w:val="single" w:color="E0E0E0" w:sz="2"/>
              <w:left w:val="single" w:color="C9A84C" w:sz="4"/>
              <w:bottom w:val="none"/>
              <w:right w:val="none"/>
            </w:tcBorders>
            <w:shd w:fill="FEF2F2" w:color="auto" w:val="clear"/>
          </w:tcPr>
          <w:p>
            <w:r>
              <w:t xml:space="preserve"/>
            </w:r>
          </w:p>
        </w:tc>
      </w:tr>
    </w:tbl>
    <w:p>
      <w:pPr>
        <w:spacing w:after="28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tblGrid>
      <w:tr>
        <w:tc>
          <w:tcPr>
            <w:tcW w:type="dxa" w:w="7200"/>
            <w:tcBorders>
              <w:top w:val="none"/>
              <w:left w:val="none"/>
              <w:bottom w:val="none"/>
              <w:right w:val="none"/>
            </w:tcBorders>
            <w:shd w:fill="08111F" w:color="auto" w:val="clear"/>
            <w:tcMar>
              <w:top w:type="dxa" w:w="100"/>
              <w:left w:type="dxa" w:w="180"/>
              <w:bottom w:type="dxa" w:w="100"/>
              <w:right w:type="dxa" w:w="180"/>
            </w:tcMar>
          </w:tcPr>
          <w:p>
            <w:pPr>
              <w:spacing w:after="20" w:before="60"/>
            </w:pPr>
            <w:r>
              <w:rPr>
                <w:rFonts w:ascii="Calibri" w:cs="Calibri" w:eastAsia="Calibri" w:hAnsi="Calibri"/>
                <w:color w:val="FFFFFF"/>
                <w:sz w:val="17"/>
                <w:szCs w:val="17"/>
              </w:rPr>
              <w:t xml:space="preserve">Finding 04</w:t>
            </w:r>
          </w:p>
          <w:p>
            <w:pPr>
              <w:spacing w:after="60" w:before="0"/>
            </w:pPr>
            <w:r>
              <w:rPr>
                <w:rFonts w:ascii="Calibri" w:cs="Calibri" w:eastAsia="Calibri" w:hAnsi="Calibri"/>
                <w:b/>
                <w:bCs/>
                <w:color w:val="FFFFFF"/>
                <w:sz w:val="23"/>
                <w:szCs w:val="23"/>
              </w:rPr>
              <w:t xml:space="preserve">No Client Profitability Reporting Exists</w:t>
            </w:r>
          </w:p>
        </w:tc>
        <w:tc>
          <w:tcPr>
            <w:tcW w:type="dxa" w:w="1440"/>
            <w:tcBorders>
              <w:top w:val="none"/>
              <w:left w:val="single" w:color="C9A84C" w:sz="4"/>
              <w:bottom w:val="none"/>
              <w:right w:val="none"/>
            </w:tcBorders>
            <w:shd w:fill="FFFBEB" w:color="auto" w:val="clear"/>
            <w:tcMar>
              <w:top w:type="dxa" w:w="100"/>
              <w:left w:type="dxa" w:w="80"/>
              <w:bottom w:type="dxa" w:w="100"/>
              <w:right w:type="dxa" w:w="80"/>
            </w:tcMar>
            <w:vAlign w:val="center"/>
          </w:tcPr>
          <w:p>
            <w:pPr>
              <w:spacing w:after="20" w:before="40"/>
              <w:jc w:val="center"/>
            </w:pPr>
            <w:r>
              <w:rPr>
                <w:rFonts w:ascii="Calibri" w:cs="Calibri" w:eastAsia="Calibri" w:hAnsi="Calibri"/>
                <w:b/>
                <w:bCs/>
                <w:color w:val="FFFFFF"/>
                <w:sz w:val="16"/>
                <w:szCs w:val="16"/>
              </w:rPr>
              <w:t xml:space="preserve">SEVERITY</w:t>
            </w:r>
          </w:p>
          <w:p>
            <w:pPr>
              <w:spacing w:after="40" w:before="0"/>
              <w:jc w:val="center"/>
            </w:pPr>
            <w:r>
              <w:rPr>
                <w:rFonts w:ascii="Calibri" w:cs="Calibri" w:eastAsia="Calibri" w:hAnsi="Calibri"/>
                <w:b/>
                <w:bCs/>
                <w:color w:val="B45309"/>
                <w:sz w:val="22"/>
                <w:szCs w:val="22"/>
              </w:rPr>
              <w:t xml:space="preserve">MEDIUM</w:t>
            </w:r>
          </w:p>
        </w:tc>
      </w:tr>
      <w:tr>
        <w:tc>
          <w:tcPr>
            <w:tcW w:type="dxa" w:w="7200"/>
            <w:gridSpan w:val="1"/>
            <w:tcBorders>
              <w:top w:val="single" w:color="E0E0E0" w:sz="2"/>
              <w:left w:val="none"/>
              <w:bottom w:val="none"/>
              <w:right w:val="none"/>
            </w:tcBorders>
            <w:shd w:fill="FFFFFF" w:color="auto" w:val="clear"/>
            <w:tcMar>
              <w:top w:type="dxa" w:w="120"/>
              <w:left w:type="dxa" w:w="180"/>
              <w:bottom w:type="dxa" w:w="120"/>
              <w:right w:type="dxa" w:w="180"/>
            </w:tcMar>
          </w:tcPr>
          <w:p>
            <w:pPr>
              <w:spacing w:after="60" w:before="80"/>
            </w:pPr>
            <w:r>
              <w:rPr>
                <w:rFonts w:ascii="Calibri" w:cs="Calibri" w:eastAsia="Calibri" w:hAnsi="Calibri"/>
                <w:b/>
                <w:bCs/>
                <w:color w:val="08111F"/>
                <w:sz w:val="17"/>
                <w:szCs w:val="17"/>
              </w:rPr>
              <w:t xml:space="preserve">WHAT WE FOUND</w:t>
            </w:r>
          </w:p>
          <w:p>
            <w:pPr>
              <w:spacing w:after="100" w:before="0"/>
            </w:pPr>
            <w:r>
              <w:rPr>
                <w:rFonts w:ascii="Calibri" w:cs="Calibri" w:eastAsia="Calibri" w:hAnsi="Calibri"/>
                <w:color w:val="1A1A1A"/>
                <w:sz w:val="20"/>
                <w:szCs w:val="20"/>
              </w:rPr>
              <w:t xml:space="preserve">The agency produces monthly P&amp;L and project tracking. It does not produce client-level profitability reports that include internal hours at cost. The client profitability table in this report was constructed from timesheet data, billed hours, and rate card information during the diagnostic — it does not exist as a standing management report.</w:t>
            </w:r>
          </w:p>
          <w:p>
            <w:pPr>
              <w:spacing w:after="60" w:before="0"/>
            </w:pPr>
            <w:r>
              <w:rPr>
                <w:rFonts w:ascii="Calibri" w:cs="Calibri" w:eastAsia="Calibri" w:hAnsi="Calibri"/>
                <w:b/>
                <w:bCs/>
                <w:color w:val="08111F"/>
                <w:sz w:val="17"/>
                <w:szCs w:val="17"/>
              </w:rPr>
              <w:t xml:space="preserve">WHY IT MATTERS</w:t>
            </w:r>
          </w:p>
          <w:p>
            <w:pPr>
              <w:spacing w:after="80" w:before="0"/>
            </w:pPr>
            <w:r>
              <w:rPr>
                <w:rFonts w:ascii="Calibri" w:cs="Calibri" w:eastAsia="Calibri" w:hAnsi="Calibri"/>
                <w:i/>
                <w:iCs/>
                <w:color w:val="1A1A1A"/>
                <w:sz w:val="20"/>
                <w:szCs w:val="20"/>
              </w:rPr>
              <w:t xml:space="preserve">The partners are making resourcing and relationship decisions without the primary data those decisions require. This is correctable in four to six weeks with the existing tooling.</w:t>
            </w:r>
          </w:p>
        </w:tc>
        <w:tc>
          <w:tcPr>
            <w:tcW w:type="dxa" w:w="1440"/>
            <w:tcBorders>
              <w:top w:val="single" w:color="E0E0E0" w:sz="2"/>
              <w:left w:val="single" w:color="C9A84C" w:sz="4"/>
              <w:bottom w:val="none"/>
              <w:right w:val="none"/>
            </w:tcBorders>
            <w:shd w:fill="FFFBEB" w:color="auto" w:val="clear"/>
          </w:tcPr>
          <w:p>
            <w:r>
              <w:t xml:space="preserve"/>
            </w:r>
          </w:p>
        </w:tc>
      </w:tr>
    </w:tbl>
    <w:p>
      <w:pPr>
        <w:spacing w:after="280" w:before="0"/>
      </w:pPr>
    </w:p>
    <w:p>
      <w:pPr>
        <w:spacing w:after="100" w:before="500"/>
      </w:pPr>
      <w:r>
        <w:rPr>
          <w:rFonts w:ascii="Calibri" w:cs="Calibri" w:eastAsia="Calibri" w:hAnsi="Calibri"/>
          <w:b/>
          <w:bCs/>
          <w:color w:val="C9A84C"/>
          <w:sz w:val="20"/>
          <w:szCs w:val="20"/>
        </w:rPr>
        <w:t xml:space="preserve">ACTION BRIEF</w:t>
      </w:r>
    </w:p>
    <w:p>
      <w:pPr>
        <w:pBdr>
          <w:bottom w:val="single" w:color="C9A84C" w:sz="12"/>
        </w:pBdr>
        <w:spacing w:after="240" w:before="0"/>
      </w:pPr>
    </w:p>
    <w:p>
      <w:pPr>
        <w:spacing w:after="80" w:before="80"/>
        <w:jc w:val="left"/>
      </w:pPr>
      <w:r>
        <w:rPr>
          <w:rFonts w:ascii="Calibri" w:cs="Calibri" w:eastAsia="Calibri" w:hAnsi="Calibri"/>
          <w:b w:val="false"/>
          <w:bCs w:val="false"/>
          <w:i w:val="false"/>
          <w:iCs w:val="false"/>
          <w:color w:val="1A1A1A"/>
          <w:sz w:val="21"/>
          <w:szCs w:val="21"/>
        </w:rPr>
        <w:t xml:space="preserve">Prioritised by financial impact. Each action has a clear owner and a realistic timeframe. None require external resource.</w:t>
      </w:r>
    </w:p>
    <w:p>
      <w:pPr>
        <w:spacing w:after="16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gridCol w:w="100"/>
        <w:gridCol w:w="100"/>
      </w:tblGrid>
      <w:tr>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PRIORITY</w:t>
            </w:r>
          </w:p>
        </w:tc>
        <w:tc>
          <w:tcPr>
            <w:tcW w:type="dxa" w:w="360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ACTION</w:t>
            </w:r>
          </w:p>
        </w:tc>
        <w:tc>
          <w:tcPr>
            <w:tcW w:type="dxa" w:w="216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OWNER</w:t>
            </w:r>
          </w:p>
        </w:tc>
        <w:tc>
          <w:tcPr>
            <w:tcW w:type="dxa" w:w="1440"/>
            <w:shd w:fill="08111F" w:color="auto" w:val="clear"/>
            <w:tcMar>
              <w:top w:type="dxa" w:w="80"/>
              <w:left w:type="dxa" w:w="120"/>
              <w:bottom w:type="dxa" w:w="80"/>
              <w:right w:type="dxa" w:w="120"/>
            </w:tcMar>
          </w:tcPr>
          <w:p>
            <w:pPr>
              <w:spacing w:after="80" w:before="80"/>
            </w:pPr>
            <w:r>
              <w:rPr>
                <w:rFonts w:ascii="Calibri" w:cs="Calibri" w:eastAsia="Calibri" w:hAnsi="Calibri"/>
                <w:b/>
                <w:bCs/>
                <w:color w:val="FFFFFF"/>
                <w:sz w:val="18"/>
                <w:szCs w:val="18"/>
              </w:rPr>
              <w:t xml:space="preserve">TIMEFRAME</w:t>
            </w:r>
          </w:p>
        </w:tc>
      </w:tr>
      <w:tr>
        <w:tc>
          <w:tcPr>
            <w:tcW w:type="dxa" w:w="1440"/>
            <w:tcBorders>
              <w:top w:val="none"/>
              <w:left w:val="none"/>
              <w:bottom w:val="single" w:color="E0E0E0" w:sz="2"/>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bCs/>
                <w:color w:val="B91C1C"/>
                <w:sz w:val="18"/>
                <w:szCs w:val="18"/>
              </w:rPr>
              <w:t xml:space="preserve">IMMEDIATE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Produce client profitability report for top 5 clients including internal hours at cost</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Finance / Managing Partner</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Week 1–2</w:t>
            </w:r>
          </w:p>
        </w:tc>
      </w:tr>
      <w:tr>
        <w:tc>
          <w:tcPr>
            <w:tcW w:type="dxa" w:w="1440"/>
            <w:tcBorders>
              <w:top w:val="none"/>
              <w:left w:val="none"/>
              <w:bottom w:val="single" w:color="E0E0E0" w:sz="2"/>
              <w:right w:val="none"/>
            </w:tcBorders>
            <w:shd w:fill="F5F5F5" w:color="auto" w:val="clear"/>
            <w:tcMar>
              <w:top w:type="dxa" w:w="80"/>
              <w:left w:type="dxa" w:w="120"/>
              <w:bottom w:type="dxa" w:w="80"/>
              <w:right w:type="dxa" w:w="120"/>
            </w:tcMar>
          </w:tcPr>
          <w:p>
            <w:pPr>
              <w:spacing w:after="60" w:before="60"/>
            </w:pPr>
            <w:r>
              <w:rPr>
                <w:rFonts w:ascii="Calibri" w:cs="Calibri" w:eastAsia="Calibri" w:hAnsi="Calibri"/>
                <w:b/>
                <w:bCs/>
                <w:color w:val="B91C1C"/>
                <w:sz w:val="18"/>
                <w:szCs w:val="18"/>
              </w:rPr>
              <w:t xml:space="preserve">IMMEDIATE</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Open renegotiation of FMCG A contract: fee uplift and payment term reduction to 60 days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Managing Partner</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Week 2–4</w:t>
            </w:r>
          </w:p>
        </w:tc>
      </w:tr>
      <w:tr>
        <w:tc>
          <w:tcPr>
            <w:tcW w:type="dxa" w:w="1440"/>
            <w:tcBorders>
              <w:top w:val="none"/>
              <w:left w:val="none"/>
              <w:bottom w:val="single" w:color="E0E0E0" w:sz="2"/>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bCs/>
                <w:color w:val="B91C1C"/>
                <w:sz w:val="18"/>
                <w:szCs w:val="18"/>
              </w:rPr>
              <w:t xml:space="preserve">IMMEDIATE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Quantify scope additions in last 12 months and raise retrospective or prospective change orders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Account Directors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Week 2–3</w:t>
            </w:r>
          </w:p>
        </w:tc>
      </w:tr>
      <w:tr>
        <w:tc>
          <w:tcPr>
            <w:tcW w:type="dxa" w:w="1440"/>
            <w:tcBorders>
              <w:top w:val="none"/>
              <w:left w:val="none"/>
              <w:bottom w:val="single" w:color="E0E0E0" w:sz="2"/>
              <w:right w:val="none"/>
            </w:tcBorders>
            <w:shd w:fill="F5F5F5" w:color="auto" w:val="clear"/>
            <w:tcMar>
              <w:top w:type="dxa" w:w="80"/>
              <w:left w:type="dxa" w:w="120"/>
              <w:bottom w:type="dxa" w:w="80"/>
              <w:right w:type="dxa" w:w="120"/>
            </w:tcMar>
          </w:tcPr>
          <w:p>
            <w:pPr>
              <w:spacing w:after="60" w:before="60"/>
            </w:pPr>
            <w:r>
              <w:rPr>
                <w:rFonts w:ascii="Calibri" w:cs="Calibri" w:eastAsia="Calibri" w:hAnsi="Calibri"/>
                <w:b/>
                <w:bCs/>
                <w:color w:val="B45309"/>
                <w:sz w:val="18"/>
                <w:szCs w:val="18"/>
              </w:rPr>
              <w:t xml:space="preserve">NEAR-TERM</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Implement change order protocol: any scope outside SOW requires written approval before delivery begins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Operations / MD</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Month 2</w:t>
            </w:r>
          </w:p>
        </w:tc>
      </w:tr>
      <w:tr>
        <w:tc>
          <w:tcPr>
            <w:tcW w:type="dxa" w:w="1440"/>
            <w:tcBorders>
              <w:top w:val="none"/>
              <w:left w:val="none"/>
              <w:bottom w:val="single" w:color="E0E0E0" w:sz="2"/>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bCs/>
                <w:color w:val="B45309"/>
                <w:sz w:val="18"/>
                <w:szCs w:val="18"/>
              </w:rPr>
              <w:t xml:space="preserve">NEAR-TERM</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Reduce payment terms on all new contracts to 30 days. No new contract signed at 90 days</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Finance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Month 2</w:t>
            </w:r>
          </w:p>
        </w:tc>
      </w:tr>
      <w:tr>
        <w:tc>
          <w:tcPr>
            <w:tcW w:type="dxa" w:w="1440"/>
            <w:tcBorders>
              <w:top w:val="none"/>
              <w:left w:val="none"/>
              <w:bottom w:val="single" w:color="E0E0E0" w:sz="2"/>
              <w:right w:val="none"/>
            </w:tcBorders>
            <w:shd w:fill="F5F5F5" w:color="auto" w:val="clear"/>
            <w:tcMar>
              <w:top w:type="dxa" w:w="80"/>
              <w:left w:type="dxa" w:w="120"/>
              <w:bottom w:type="dxa" w:w="80"/>
              <w:right w:type="dxa" w:w="120"/>
            </w:tcMar>
          </w:tcPr>
          <w:p>
            <w:pPr>
              <w:spacing w:after="60" w:before="60"/>
            </w:pPr>
            <w:r>
              <w:rPr>
                <w:rFonts w:ascii="Calibri" w:cs="Calibri" w:eastAsia="Calibri" w:hAnsi="Calibri"/>
                <w:b/>
                <w:bCs/>
                <w:color w:val="B45309"/>
                <w:sz w:val="18"/>
                <w:szCs w:val="18"/>
              </w:rPr>
              <w:t xml:space="preserve">NEAR-TERM</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Review FMCG B contract. Assess whether relationship justifies continued investment at 3.8% net margin</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Managing Partner</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Month 2–3</w:t>
            </w:r>
          </w:p>
        </w:tc>
      </w:tr>
      <w:tr>
        <w:tc>
          <w:tcPr>
            <w:tcW w:type="dxa" w:w="1440"/>
            <w:tcBorders>
              <w:top w:val="none"/>
              <w:left w:val="none"/>
              <w:bottom w:val="single" w:color="E0E0E0" w:sz="2"/>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bCs/>
                <w:color w:val="2D6A4F"/>
                <w:sz w:val="18"/>
                <w:szCs w:val="18"/>
              </w:rPr>
              <w:t xml:space="preserve">STRATEGIC</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Build a rolling 13-week cash flow model updated weekly by finance. Current cash position is too thin to manage from a monthly P&amp;L view alone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Finance</w:t>
            </w:r>
          </w:p>
        </w:tc>
        <w:tc>
          <w:tcPr>
            <w:tcBorders>
              <w:top w:val="none"/>
              <w:left w:val="none"/>
              <w:bottom w:val="single" w:color="E0E0E0" w:sz="2"/>
              <w:right w:val="none"/>
            </w:tcBorders>
            <w:shd w:fill="FFFFFF"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Month 3</w:t>
            </w:r>
          </w:p>
        </w:tc>
      </w:tr>
      <w:tr>
        <w:tc>
          <w:tcPr>
            <w:tcW w:type="dxa" w:w="1440"/>
            <w:tcBorders>
              <w:top w:val="none"/>
              <w:left w:val="none"/>
              <w:bottom w:val="single" w:color="E0E0E0" w:sz="2"/>
              <w:right w:val="none"/>
            </w:tcBorders>
            <w:shd w:fill="F5F5F5" w:color="auto" w:val="clear"/>
            <w:tcMar>
              <w:top w:type="dxa" w:w="80"/>
              <w:left w:type="dxa" w:w="120"/>
              <w:bottom w:type="dxa" w:w="80"/>
              <w:right w:type="dxa" w:w="120"/>
            </w:tcMar>
          </w:tcPr>
          <w:p>
            <w:pPr>
              <w:spacing w:after="60" w:before="60"/>
            </w:pPr>
            <w:r>
              <w:rPr>
                <w:rFonts w:ascii="Calibri" w:cs="Calibri" w:eastAsia="Calibri" w:hAnsi="Calibri"/>
                <w:b/>
                <w:bCs/>
                <w:color w:val="2D6A4F"/>
                <w:sz w:val="18"/>
                <w:szCs w:val="18"/>
              </w:rPr>
              <w:t xml:space="preserve">STRATEGIC</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bCs/>
                <w:color w:val="08111F"/>
                <w:sz w:val="20"/>
                <w:szCs w:val="20"/>
              </w:rPr>
              <w:t xml:space="preserve">Set minimum net margin threshold for client retention: recommend 10%. Any client below threshold triggers a review, not an assumption of renewal</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6B7280"/>
                <w:sz w:val="20"/>
                <w:szCs w:val="20"/>
              </w:rPr>
              <w:t xml:space="preserve">Partners</w:t>
            </w:r>
          </w:p>
        </w:tc>
        <w:tc>
          <w:tcPr>
            <w:tcBorders>
              <w:top w:val="none"/>
              <w:left w:val="none"/>
              <w:bottom w:val="single" w:color="E0E0E0" w:sz="2"/>
              <w:right w:val="none"/>
            </w:tcBorders>
            <w:shd w:fill="F5F5F5" w:color="auto" w:val="clear"/>
            <w:tcMar>
              <w:top w:type="dxa" w:w="80"/>
              <w:left w:type="dxa" w:w="120"/>
              <w:bottom w:type="dxa" w:w="80"/>
              <w:right w:type="dxa" w:w="120"/>
            </w:tcMar>
          </w:tcPr>
          <w:p>
            <w:pPr>
              <w:spacing w:after="80" w:before="80"/>
              <w:jc w:val="left"/>
            </w:pPr>
            <w:r>
              <w:rPr>
                <w:rFonts w:ascii="Calibri" w:cs="Calibri" w:eastAsia="Calibri" w:hAnsi="Calibri"/>
                <w:b w:val="false"/>
                <w:bCs w:val="false"/>
                <w:color w:val="1A1A1A"/>
                <w:sz w:val="20"/>
                <w:szCs w:val="20"/>
              </w:rPr>
              <w:t xml:space="preserve">Month 3</w:t>
            </w:r>
          </w:p>
        </w:tc>
      </w:tr>
    </w:tbl>
    <w:p>
      <w:pPr>
        <w:spacing w:after="400" w:before="0"/>
      </w:pPr>
    </w:p>
    <w:p>
      <w:pPr>
        <w:spacing w:after="100" w:before="500"/>
      </w:pPr>
      <w:r>
        <w:rPr>
          <w:rFonts w:ascii="Calibri" w:cs="Calibri" w:eastAsia="Calibri" w:hAnsi="Calibri"/>
          <w:b/>
          <w:bCs/>
          <w:color w:val="C9A84C"/>
          <w:sz w:val="20"/>
          <w:szCs w:val="20"/>
        </w:rPr>
        <w:t xml:space="preserve">RECOMMENDED NEXT STEPS</w:t>
      </w:r>
    </w:p>
    <w:p>
      <w:pPr>
        <w:pBdr>
          <w:bottom w:val="single" w:color="C9A84C" w:sz="12"/>
        </w:pBdr>
        <w:spacing w:after="240" w:before="0"/>
      </w:pPr>
    </w:p>
    <w:p>
      <w:pPr>
        <w:spacing w:after="80" w:before="80"/>
        <w:jc w:val="left"/>
      </w:pPr>
      <w:r>
        <w:rPr>
          <w:rFonts w:ascii="Calibri" w:cs="Calibri" w:eastAsia="Calibri" w:hAnsi="Calibri"/>
          <w:b w:val="false"/>
          <w:bCs w:val="false"/>
          <w:i w:val="false"/>
          <w:iCs w:val="false"/>
          <w:color w:val="1A1A1A"/>
          <w:sz w:val="21"/>
          <w:szCs w:val="21"/>
        </w:rPr>
        <w:t xml:space="preserve">This diagnostic identifies the problems. It does not implement the solutions. Three paths forward:</w:t>
      </w:r>
    </w:p>
    <w:p>
      <w:pPr>
        <w:spacing w:after="12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gridCol w:w="100"/>
      </w:tblGrid>
      <w:tr>
        <w:tc>
          <w:tcPr>
            <w:tcW w:type="dxa" w:w="2800"/>
            <w:tcBorders>
              <w:top w:val="none"/>
              <w:left w:val="none"/>
              <w:bottom w:val="none"/>
              <w:right w:val="single" w:color="C9A84C" w:sz="4"/>
            </w:tcBorders>
            <w:shd w:fill="08111F" w:color="auto" w:val="clear"/>
            <w:tcMar>
              <w:top w:type="dxa" w:w="160"/>
              <w:left w:type="dxa" w:w="180"/>
              <w:bottom w:type="dxa" w:w="160"/>
              <w:right w:type="dxa" w:w="180"/>
            </w:tcMar>
          </w:tcPr>
          <w:p>
            <w:pPr>
              <w:spacing w:after="80" w:before="0"/>
            </w:pPr>
            <w:r>
              <w:rPr>
                <w:rFonts w:ascii="Calibri" w:cs="Calibri" w:eastAsia="Calibri" w:hAnsi="Calibri"/>
                <w:b/>
                <w:bCs/>
                <w:color w:val="C9A84C"/>
                <w:sz w:val="20"/>
                <w:szCs w:val="20"/>
              </w:rPr>
              <w:t xml:space="preserve">01  Monthly CFO Intelligence</w:t>
            </w:r>
          </w:p>
          <w:p>
            <w:pPr>
              <w:spacing w:after="0" w:before="0"/>
            </w:pPr>
            <w:r>
              <w:rPr>
                <w:rFonts w:ascii="Calibri" w:cs="Calibri" w:eastAsia="Calibri" w:hAnsi="Calibri"/>
                <w:color w:val="FFFFFF"/>
                <w:sz w:val="19"/>
                <w:szCs w:val="19"/>
              </w:rPr>
              <w:t xml:space="preserve">From €1,750/mo. Monthly benchmark review, financial interpretation, one 60-minute call per month. I track the metrics. You track the business.</w:t>
            </w:r>
          </w:p>
        </w:tc>
        <w:tc>
          <w:tcPr>
            <w:tcW w:type="dxa" w:w="2800"/>
            <w:tcBorders>
              <w:top w:val="none"/>
              <w:left w:val="none"/>
              <w:bottom w:val="none"/>
              <w:right w:val="single" w:color="C9A84C" w:sz="4"/>
            </w:tcBorders>
            <w:shd w:fill="08111F" w:color="auto" w:val="clear"/>
            <w:tcMar>
              <w:top w:type="dxa" w:w="160"/>
              <w:left w:type="dxa" w:w="180"/>
              <w:bottom w:type="dxa" w:w="160"/>
              <w:right w:type="dxa" w:w="180"/>
            </w:tcMar>
          </w:tcPr>
          <w:p>
            <w:pPr>
              <w:spacing w:after="80" w:before="0"/>
            </w:pPr>
            <w:r>
              <w:rPr>
                <w:rFonts w:ascii="Calibri" w:cs="Calibri" w:eastAsia="Calibri" w:hAnsi="Calibri"/>
                <w:b/>
                <w:bCs/>
                <w:color w:val="C9A84C"/>
                <w:sz w:val="20"/>
                <w:szCs w:val="20"/>
              </w:rPr>
              <w:t xml:space="preserve">02  Implementation</w:t>
            </w:r>
          </w:p>
          <w:p>
            <w:pPr>
              <w:spacing w:after="0" w:before="0"/>
            </w:pPr>
            <w:r>
              <w:rPr>
                <w:rFonts w:ascii="Calibri" w:cs="Calibri" w:eastAsia="Calibri" w:hAnsi="Calibri"/>
                <w:color w:val="FFFFFF"/>
                <w:sz w:val="19"/>
                <w:szCs w:val="19"/>
              </w:rPr>
              <w:t xml:space="preserve">Client profitability system + change order protocol + 13-week cash model. From €5,500. Delivered over 6–8 weeks.</w:t>
            </w:r>
          </w:p>
        </w:tc>
        <w:tc>
          <w:tcPr>
            <w:tcW w:type="dxa" w:w="3040"/>
            <w:tcBorders>
              <w:top w:val="none"/>
              <w:left w:val="none"/>
              <w:bottom w:val="none"/>
              <w:right w:val="none"/>
            </w:tcBorders>
            <w:shd w:fill="08111F" w:color="auto" w:val="clear"/>
            <w:tcMar>
              <w:top w:type="dxa" w:w="160"/>
              <w:left w:type="dxa" w:w="180"/>
              <w:bottom w:type="dxa" w:w="160"/>
              <w:right w:type="dxa" w:w="180"/>
            </w:tcMar>
          </w:tcPr>
          <w:p>
            <w:pPr>
              <w:spacing w:after="80" w:before="0"/>
            </w:pPr>
            <w:r>
              <w:rPr>
                <w:rFonts w:ascii="Calibri" w:cs="Calibri" w:eastAsia="Calibri" w:hAnsi="Calibri"/>
                <w:b/>
                <w:bCs/>
                <w:color w:val="C9A84C"/>
                <w:sz w:val="20"/>
                <w:szCs w:val="20"/>
              </w:rPr>
              <w:t xml:space="preserve">03  Fractional CFO</w:t>
            </w:r>
          </w:p>
          <w:p>
            <w:pPr>
              <w:spacing w:after="0" w:before="0"/>
            </w:pPr>
            <w:r>
              <w:rPr>
                <w:rFonts w:ascii="Calibri" w:cs="Calibri" w:eastAsia="Calibri" w:hAnsi="Calibri"/>
                <w:color w:val="FFFFFF"/>
                <w:sz w:val="19"/>
                <w:szCs w:val="19"/>
              </w:rPr>
              <w:t xml:space="preserve">Full outsourced CFO function. Board reports, cash dashboard, budget/forecast, contract negotiation support. Scoped in conversation.</w:t>
            </w:r>
          </w:p>
        </w:tc>
      </w:tr>
    </w:tbl>
    <w:p>
      <w:pPr>
        <w:spacing w:after="240" w:before="0"/>
      </w:pPr>
    </w:p>
    <w:p>
      <w:pPr>
        <w:spacing w:after="80" w:before="80"/>
        <w:jc w:val="left"/>
      </w:pPr>
      <w:r>
        <w:rPr>
          <w:rFonts w:ascii="Calibri" w:cs="Calibri" w:eastAsia="Calibri" w:hAnsi="Calibri"/>
          <w:b w:val="false"/>
          <w:bCs w:val="false"/>
          <w:i/>
          <w:iCs/>
          <w:color w:val="6B7280"/>
          <w:sz w:val="21"/>
          <w:szCs w:val="21"/>
        </w:rPr>
        <w:t xml:space="preserve">All three paths include the 90-minute briefing call (already completed as part of this engagement) as the starting point. There is no re-introduction required.</w:t>
      </w:r>
    </w:p>
    <w:p>
      <w:pPr>
        <w:spacing w:after="360" w:before="0"/>
      </w:pPr>
    </w:p>
    <w:p>
      <w:pPr>
        <w:spacing w:after="100" w:before="500"/>
      </w:pPr>
      <w:r>
        <w:rPr>
          <w:rFonts w:ascii="Calibri" w:cs="Calibri" w:eastAsia="Calibri" w:hAnsi="Calibri"/>
          <w:b/>
          <w:bCs/>
          <w:color w:val="C9A84C"/>
          <w:sz w:val="20"/>
          <w:szCs w:val="20"/>
        </w:rPr>
        <w:t xml:space="preserve">ABOUT THE ADVISOR</w:t>
      </w:r>
    </w:p>
    <w:p>
      <w:pPr>
        <w:pBdr>
          <w:bottom w:val="single" w:color="C9A84C" w:sz="12"/>
        </w:pBdr>
        <w:spacing w:after="24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5760"/>
            <w:tcBorders>
              <w:top w:val="none"/>
              <w:left w:val="single" w:color="C9A84C" w:sz="8"/>
              <w:bottom w:val="none"/>
              <w:right w:val="none"/>
            </w:tcBorders>
            <w:shd w:fill="F5F5F5" w:color="auto" w:val="clear"/>
            <w:tcMar>
              <w:top w:type="dxa" w:w="180"/>
              <w:left w:type="dxa" w:w="220"/>
              <w:bottom w:type="dxa" w:w="180"/>
              <w:right w:type="dxa" w:w="220"/>
            </w:tcMar>
          </w:tcPr>
          <w:p>
            <w:pPr>
              <w:spacing w:after="60" w:before="0"/>
            </w:pPr>
            <w:r>
              <w:rPr>
                <w:rFonts w:ascii="Calibri" w:cs="Calibri" w:eastAsia="Calibri" w:hAnsi="Calibri"/>
                <w:b/>
                <w:bCs/>
                <w:color w:val="08111F"/>
                <w:sz w:val="26"/>
                <w:szCs w:val="26"/>
              </w:rPr>
              <w:t xml:space="preserve">Satyabrata Das</w:t>
            </w:r>
          </w:p>
          <w:p>
            <w:pPr>
              <w:spacing w:after="120" w:before="0"/>
            </w:pPr>
            <w:r>
              <w:rPr>
                <w:rFonts w:ascii="Calibri" w:cs="Calibri" w:eastAsia="Calibri" w:hAnsi="Calibri"/>
                <w:b/>
                <w:bCs/>
                <w:color w:val="C9A84C"/>
                <w:sz w:val="20"/>
                <w:szCs w:val="20"/>
              </w:rPr>
              <w:t xml:space="preserve">Strategic Finance Advisor</w:t>
            </w:r>
          </w:p>
          <w:p>
            <w:pPr>
              <w:spacing w:after="120" w:before="0"/>
            </w:pPr>
            <w:r>
              <w:rPr>
                <w:rFonts w:ascii="Calibri" w:cs="Calibri" w:eastAsia="Calibri" w:hAnsi="Calibri"/>
                <w:color w:val="1A1A1A"/>
                <w:sz w:val="19"/>
                <w:szCs w:val="19"/>
              </w:rPr>
              <w:t xml:space="preserve">Former Group CFO of WPP Scangroup (NSE-listed). 29 years across 56 entities in 18 countries including Publicis Groupe, Siemens, and WPP group companies. $200M+ P&amp;L managed. ACCA (UK), CPA (Kenya &amp; Australia), Harvard Business School Executive Education, MBA (Finance).</w:t>
            </w:r>
          </w:p>
          <w:p>
            <w:pPr>
              <w:spacing w:after="120" w:before="0"/>
            </w:pPr>
            <w:r>
              <w:rPr>
                <w:rFonts w:ascii="Calibri" w:cs="Calibri" w:eastAsia="Calibri" w:hAnsi="Calibri"/>
                <w:i/>
                <w:iCs/>
                <w:color w:val="1A1A1A"/>
                <w:sz w:val="19"/>
                <w:szCs w:val="19"/>
              </w:rPr>
              <w:t xml:space="preserve">I have managed client relationships, run finance functions, implemented SOX controls, designed financial systems, and sat on boards — all within the agency and media world. When I look at your numbers, I am not learning the industry. I am recognising patterns I have seen before and know how to address.</w:t>
            </w:r>
          </w:p>
          <w:p>
            <w:pPr>
              <w:spacing w:after="0" w:before="0"/>
            </w:pPr>
            <w:r>
              <w:rPr>
                <w:rFonts w:ascii="Calibri" w:cs="Calibri" w:eastAsia="Calibri" w:hAnsi="Calibri"/>
                <w:b/>
                <w:bCs/>
                <w:color w:val="C9A84C"/>
                <w:sz w:val="19"/>
                <w:szCs w:val="19"/>
              </w:rPr>
              <w:t xml:space="preserve">The most common thing clients say after the first session: "I wish we had done this three years ago."</w:t>
            </w:r>
          </w:p>
        </w:tc>
        <w:tc>
          <w:tcPr>
            <w:tcW w:type="dxa" w:w="2880"/>
            <w:shd w:fill="08111F" w:color="auto" w:val="clear"/>
            <w:tcMar>
              <w:top w:type="dxa" w:w="200"/>
              <w:left w:type="dxa" w:w="160"/>
              <w:bottom w:type="dxa" w:w="200"/>
              <w:right w:type="dxa" w:w="160"/>
            </w:tcMar>
            <w:vAlign w:val="center"/>
          </w:tcPr>
          <w:p>
            <w:pPr>
              <w:spacing w:after="0" w:before="0"/>
              <w:jc w:val="center"/>
            </w:pPr>
            <w:r>
              <w:rPr>
                <w:rFonts w:ascii="Calibri" w:cs="Calibri" w:eastAsia="Calibri" w:hAnsi="Calibri"/>
                <w:b/>
                <w:bCs/>
                <w:color w:val="C9A84C"/>
                <w:sz w:val="52"/>
                <w:szCs w:val="52"/>
              </w:rPr>
              <w:t xml:space="preserve">29</w:t>
            </w:r>
          </w:p>
          <w:p>
            <w:pPr>
              <w:spacing w:after="120" w:before="0"/>
              <w:jc w:val="center"/>
            </w:pPr>
            <w:r>
              <w:rPr>
                <w:rFonts w:ascii="Calibri" w:cs="Calibri" w:eastAsia="Calibri" w:hAnsi="Calibri"/>
                <w:color w:val="6B7280"/>
                <w:sz w:val="18"/>
                <w:szCs w:val="18"/>
              </w:rPr>
              <w:t xml:space="preserve">years</w:t>
            </w:r>
          </w:p>
          <w:p>
            <w:pPr>
              <w:spacing w:after="0" w:before="0"/>
              <w:jc w:val="center"/>
            </w:pPr>
            <w:r>
              <w:rPr>
                <w:rFonts w:ascii="Calibri" w:cs="Calibri" w:eastAsia="Calibri" w:hAnsi="Calibri"/>
                <w:b/>
                <w:bCs/>
                <w:color w:val="C9A84C"/>
                <w:sz w:val="52"/>
                <w:szCs w:val="52"/>
              </w:rPr>
              <w:t xml:space="preserve">56</w:t>
            </w:r>
          </w:p>
          <w:p>
            <w:pPr>
              <w:spacing w:after="120" w:before="0"/>
              <w:jc w:val="center"/>
            </w:pPr>
            <w:r>
              <w:rPr>
                <w:rFonts w:ascii="Calibri" w:cs="Calibri" w:eastAsia="Calibri" w:hAnsi="Calibri"/>
                <w:color w:val="6B7280"/>
                <w:sz w:val="18"/>
                <w:szCs w:val="18"/>
              </w:rPr>
              <w:t xml:space="preserve">entities</w:t>
            </w:r>
          </w:p>
          <w:p>
            <w:pPr>
              <w:spacing w:after="0" w:before="0"/>
              <w:jc w:val="center"/>
            </w:pPr>
            <w:r>
              <w:rPr>
                <w:rFonts w:ascii="Calibri" w:cs="Calibri" w:eastAsia="Calibri" w:hAnsi="Calibri"/>
                <w:b/>
                <w:bCs/>
                <w:color w:val="C9A84C"/>
                <w:sz w:val="52"/>
                <w:szCs w:val="52"/>
              </w:rPr>
              <w:t xml:space="preserve">18</w:t>
            </w:r>
          </w:p>
          <w:p>
            <w:pPr>
              <w:spacing w:after="120" w:before="0"/>
              <w:jc w:val="center"/>
            </w:pPr>
            <w:r>
              <w:rPr>
                <w:rFonts w:ascii="Calibri" w:cs="Calibri" w:eastAsia="Calibri" w:hAnsi="Calibri"/>
                <w:color w:val="6B7280"/>
                <w:sz w:val="18"/>
                <w:szCs w:val="18"/>
              </w:rPr>
              <w:t xml:space="preserve">countries</w:t>
            </w:r>
          </w:p>
          <w:p>
            <w:pPr>
              <w:spacing w:after="0" w:before="0"/>
              <w:jc w:val="center"/>
            </w:pPr>
            <w:r>
              <w:rPr>
                <w:rFonts w:ascii="Calibri" w:cs="Calibri" w:eastAsia="Calibri" w:hAnsi="Calibri"/>
                <w:b/>
                <w:bCs/>
                <w:color w:val="C9A84C"/>
                <w:sz w:val="36"/>
                <w:szCs w:val="36"/>
              </w:rPr>
              <w:t xml:space="preserve">$200M+</w:t>
            </w:r>
          </w:p>
          <w:p>
            <w:pPr>
              <w:spacing w:after="0" w:before="0"/>
              <w:jc w:val="center"/>
            </w:pPr>
            <w:r>
              <w:rPr>
                <w:rFonts w:ascii="Calibri" w:cs="Calibri" w:eastAsia="Calibri" w:hAnsi="Calibri"/>
                <w:color w:val="6B7280"/>
                <w:sz w:val="18"/>
                <w:szCs w:val="18"/>
              </w:rPr>
              <w:t xml:space="preserve">P&amp;L managed</w:t>
            </w:r>
          </w:p>
        </w:tc>
      </w:tr>
    </w:tbl>
    <w:p>
      <w:pPr>
        <w:spacing w:after="280" w:before="0"/>
      </w:pPr>
    </w:p>
    <w:p>
      <w:pPr>
        <w:jc w:val="center"/>
      </w:pPr>
      <w:r>
        <w:rPr>
          <w:rFonts w:ascii="Calibri" w:cs="Calibri" w:eastAsia="Calibri" w:hAnsi="Calibri"/>
          <w:color w:val="6B7280"/>
          <w:sz w:val="16"/>
          <w:szCs w:val="16"/>
        </w:rPr>
        <w:t xml:space="preserve">Phoenix SSA Sp. z o.o. · Warsaw, Poland · NIP PL5253039035 · phoenix-ssa.com · Satyabrata Das · Strategic Finance Advisor</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2026-07-12T12:00:22.199Z</dcterms:created>
  <dcterms:modified xsi:type="dcterms:W3CDTF">2026-07-12T12:00:22.200Z</dcterms:modified>
</cp:coreProperties>
</file>

<file path=docProps/custom.xml><?xml version="1.0" encoding="utf-8"?>
<Properties xmlns="http://schemas.openxmlformats.org/officeDocument/2006/custom-properties" xmlns:vt="http://schemas.openxmlformats.org/officeDocument/2006/docPropsVTypes"/>
</file>